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MbIndicatorCommentCaption"/>
      </w:pPr>
    </w:p>
    <w:p>
      <w:pPr>
        <w:pStyle w:val="MbTitle"/>
      </w:pPr>
      <w:r>
        <w:t>Nyckeltal för miljökontoren i Stockholms län</w:t>
      </w:r>
    </w:p>
    <w:p>
      <w:pPr>
        <w:pStyle w:val="Rubrik3"/>
      </w:pPr>
      <w:r>
        <w:t>Nyckeltal MSL.1</w:t>
      </w:r>
    </w:p>
    <w:p>
      <w:pPr>
        <w:pStyle w:val="MbIndicatorNameEx"/>
      </w:pPr>
      <w:r>
        <w:t>Timtaxa miljöbalkstillsyn</w:t>
      </w:r>
    </w:p>
    <w:p>
      <w:pPr>
        <w:pStyle w:val="MbIndicatorGraph"/>
      </w:pPr>
      <w:r>
        <w:drawing>
          <wp:inline>
            <wp:extent cx="5238096" cy="1476191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Picture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miljöbalkstillsyn.</w:t>
      </w:r>
    </w:p>
    <w:p>
      <w:pPr>
        <w:pStyle w:val="Rubrik3"/>
      </w:pPr>
      <w:r>
        <w:t>Nyckeltal MSL.2</w:t>
      </w:r>
    </w:p>
    <w:p>
      <w:pPr>
        <w:pStyle w:val="MbIndicatorNameEx"/>
      </w:pPr>
      <w:r>
        <w:t>Timtaxa livsmedelskontroll</w:t>
      </w:r>
    </w:p>
    <w:p>
      <w:pPr>
        <w:pStyle w:val="MbIndicatorGraph"/>
      </w:pPr>
      <w:r>
        <w:drawing>
          <wp:inline>
            <wp:extent cx="5238096" cy="1476191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Picture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livsmedelskontrollen.</w:t>
      </w:r>
      <w:r>
        <w:br/>
      </w:r>
      <w:r>
        <w:t>Kommuner som har differentierad taxa har angivit detta under Kommentar.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Differentierad taxa från 2017. För extra offentlig kontroll är avgiften 1 100 kr</w:t>
      </w:r>
    </w:p>
    <w:p>
      <w:pPr>
        <w:pStyle w:val="Rubrik3"/>
      </w:pPr>
      <w:r>
        <w:t>Nyckeltal MSL.3</w:t>
      </w:r>
    </w:p>
    <w:p>
      <w:pPr>
        <w:pStyle w:val="MbIndicatorNameEx"/>
      </w:pPr>
      <w:r>
        <w:t>Inspektörer för miljöbalkstillsyn, årsarbetskrafter</w:t>
      </w:r>
    </w:p>
    <w:p>
      <w:pPr>
        <w:pStyle w:val="MbIndicatorGraph"/>
      </w:pPr>
      <w:r>
        <w:drawing>
          <wp:inline>
            <wp:extent cx="5238096" cy="1476191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Picture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miljöbalkstillsyn.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Rekrytering av ny inspektör inom miljöbalken 2021.</w:t>
      </w:r>
      <w:r>
        <w:br/>
      </w:r>
      <w:r>
        <w:t>2022 långtidsjukskrivning</w:t>
      </w:r>
    </w:p>
    <w:p>
      <w:pPr>
        <w:pStyle w:val="Rubrik3"/>
      </w:pPr>
      <w:r>
        <w:t>Nyckeltal MSL.3b</w:t>
      </w:r>
    </w:p>
    <w:p>
      <w:pPr>
        <w:pStyle w:val="MbIndicatorNameEx"/>
      </w:pPr>
      <w:r>
        <w:t>Inspektörer för miljöbalkstillsyn,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Picture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MSL.4</w:t>
      </w:r>
    </w:p>
    <w:p>
      <w:pPr>
        <w:pStyle w:val="MbIndicatorNameEx"/>
      </w:pPr>
      <w:r>
        <w:t>Inspektörer för livsmedelskontroll, årsarbetskrafter</w:t>
      </w:r>
    </w:p>
    <w:p>
      <w:pPr>
        <w:pStyle w:val="MbIndicatorGraph"/>
      </w:pPr>
      <w:r>
        <w:drawing>
          <wp:inline>
            <wp:extent cx="5238096" cy="1476191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Picture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livsmedelskontroll.</w:t>
      </w:r>
    </w:p>
    <w:p>
      <w:pPr>
        <w:pStyle w:val="Rubrik3"/>
      </w:pPr>
      <w:r>
        <w:t>Nyckeltal MSL.4b</w:t>
      </w:r>
    </w:p>
    <w:p>
      <w:pPr>
        <w:pStyle w:val="MbIndicatorNameEx"/>
      </w:pPr>
      <w:r>
        <w:t>Inspektörer för livsmedelskontroll,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Picture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MSL.5</w:t>
      </w:r>
    </w:p>
    <w:p>
      <w:pPr>
        <w:pStyle w:val="MbIndicatorNameEx"/>
      </w:pPr>
      <w:r>
        <w:t>Månadslön för tillsynspersonal</w:t>
      </w:r>
    </w:p>
    <w:p>
      <w:pPr>
        <w:pStyle w:val="MbIndicatorGraph"/>
      </w:pPr>
      <w:r>
        <w:drawing>
          <wp:inline>
            <wp:extent cx="5238096" cy="1476191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Picture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medianmånadslön för tillsynspersonal (inspektörer och intendenter). Lön efter revision.</w:t>
      </w:r>
    </w:p>
    <w:p>
      <w:pPr>
        <w:pStyle w:val="Rubrik3"/>
      </w:pPr>
      <w:r>
        <w:t>Nyckeltal MSL.5b</w:t>
      </w:r>
    </w:p>
    <w:p>
      <w:pPr>
        <w:pStyle w:val="MbIndicatorNameEx"/>
      </w:pPr>
      <w:r>
        <w:t xml:space="preserve">Snittålder för anställd tillsynspersonal per 31 december (inspektörer och intendenter). </w:t>
      </w:r>
    </w:p>
    <w:p>
      <w:pPr>
        <w:pStyle w:val="MbIndicatorGraph"/>
      </w:pPr>
      <w:r>
        <w:drawing>
          <wp:inline>
            <wp:extent cx="5238096" cy="1476191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Picture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Snittålder för anställd tillsynspersonal per 31 december.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Nyrekryteringar under 2021</w:t>
      </w:r>
    </w:p>
    <w:p>
      <w:pPr>
        <w:pStyle w:val="Rubrik3"/>
      </w:pPr>
      <w:r>
        <w:t>Nyckeltal MSL.6</w:t>
      </w:r>
    </w:p>
    <w:p>
      <w:pPr>
        <w:pStyle w:val="MbIndicatorNameEx"/>
      </w:pPr>
      <w:r>
        <w:t>Intäkt för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Picture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miljöbalkstillsyn, per årsarbetskraft.</w:t>
      </w:r>
      <w:r>
        <w:br/>
      </w:r>
      <w:r>
        <w:t>Med årsarbetskraft menas antal anställda personer omräknat till heltidsarbeten.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2019 Ökning av intäkter generellt inom alla områden.</w:t>
      </w:r>
    </w:p>
    <w:p>
      <w:pPr>
        <w:pStyle w:val="MbIndicatorComment"/>
      </w:pPr>
      <w:r>
        <w:t>2020 Minskning pga bortprioriterad tillsyn till följd av Covd-19.</w:t>
      </w:r>
    </w:p>
    <w:p>
      <w:pPr>
        <w:pStyle w:val="MbIndicatorComment"/>
      </w:pPr>
      <w:r>
        <w:t>2021 Trängselkontroller och tillsyn som ej kunnat genomföras pga Covid-19 har påverkat taxeintäkterna inom främst hälsoskydd.</w:t>
      </w:r>
    </w:p>
    <w:p>
      <w:pPr>
        <w:pStyle w:val="Rubrik3"/>
      </w:pPr>
      <w:r>
        <w:t>Nyckeltal MSL.7</w:t>
      </w:r>
    </w:p>
    <w:p>
      <w:pPr>
        <w:pStyle w:val="MbIndicatorNameEx"/>
      </w:pPr>
      <w:r>
        <w:t>Intäkt för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Picture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livsmedelskontrollen, per årsarbetskraft.</w:t>
      </w:r>
      <w:r>
        <w:br/>
      </w:r>
      <w:r>
        <w:t>Med årsarbetskraft menas antal anställda personer omräknat till heltidsarbeten.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2019 Ökade intäkter inom extra offentlig kontroll.</w:t>
      </w:r>
      <w:r>
        <w:br/>
      </w:r>
      <w:r>
        <w:t>2020 Minskning av uppföljande kontroller samt pga Covid-19.</w:t>
      </w:r>
    </w:p>
    <w:p>
      <w:pPr>
        <w:pStyle w:val="Rubrik3"/>
      </w:pPr>
      <w:r>
        <w:t>Nyckeltal MSL.8</w:t>
      </w:r>
    </w:p>
    <w:p>
      <w:pPr>
        <w:pStyle w:val="MbIndicatorNameEx"/>
      </w:pPr>
      <w:r>
        <w:t>Debiterade timmar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Picture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miljöbalkstillsyn, per årsarbetare.</w:t>
      </w:r>
    </w:p>
    <w:p>
      <w:pPr>
        <w:pStyle w:val="Rubrik3"/>
      </w:pPr>
      <w:r>
        <w:t>Nyckeltal MSL.9</w:t>
      </w:r>
    </w:p>
    <w:p>
      <w:pPr>
        <w:pStyle w:val="MbIndicatorNameEx"/>
      </w:pPr>
      <w:r>
        <w:t>Debiterade timmar per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Picture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livsmedelskontroll, per årsarbetskraft.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2019 Ökning av extra offentlig kontroll</w:t>
      </w:r>
      <w:r>
        <w:br/>
      </w:r>
      <w:r>
        <w:t>2020 Minskad uppföljande kontroll + minskad tillsyn pga Covid-19</w:t>
      </w:r>
    </w:p>
    <w:p>
      <w:pPr>
        <w:pStyle w:val="Rubrik3"/>
      </w:pPr>
      <w:r>
        <w:t>Nyckeltal MSL.10</w:t>
      </w:r>
    </w:p>
    <w:p>
      <w:pPr>
        <w:pStyle w:val="MbIndicatorNameEx"/>
      </w:pPr>
      <w:r>
        <w:t>Självfinansieringsgrad miljöbalkstillsyn</w:t>
      </w:r>
    </w:p>
    <w:p>
      <w:pPr>
        <w:pStyle w:val="MbIndicatorGraph"/>
      </w:pPr>
      <w:r>
        <w:drawing>
          <wp:inline>
            <wp:extent cx="5238096" cy="1476191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Picture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hur stor andel av miljöbalkstillsynen som är intäktsfinansierad samt är underlag för verksamhetsutveckling.</w:t>
      </w:r>
      <w:r>
        <w:br/>
      </w:r>
      <w:r>
        <w:t>Självfinansieringsgraden påverkas av många olika faktorer såsom omorganisation av verksamheten, personalens sjukfrånvaro, ändrade definitioner av nyckeltalet samt nivån på timtaxa. Undvik därför jämförelse mellan miljökontor.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Ökade intäkter och sjukfrånvaro 2019.</w:t>
      </w:r>
    </w:p>
    <w:p>
      <w:pPr>
        <w:pStyle w:val="Rubrik3"/>
      </w:pPr>
      <w:r>
        <w:t>Nyckeltal MSL.11</w:t>
      </w:r>
    </w:p>
    <w:p>
      <w:pPr>
        <w:pStyle w:val="MbIndicatorNameEx"/>
      </w:pPr>
      <w:r>
        <w:t>Självfinansieringsgrad livsmedelskontroll</w:t>
      </w:r>
    </w:p>
    <w:p>
      <w:pPr>
        <w:pStyle w:val="MbIndicatorGraph"/>
      </w:pPr>
      <w:r>
        <w:drawing>
          <wp:inline>
            <wp:extent cx="5238096" cy="1476191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Picture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förhållandet mellan tillsynsavgifter och kostnaden för att bedriva livsmedelskontroll.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Lägre intäkter pga Covid. Intäkter från staten för trängseltillsynen ej inräknad.</w:t>
      </w:r>
      <w:r>
        <w:br/>
      </w:r>
    </w:p>
    <w:p>
      <w:pPr>
        <w:pStyle w:val="Rubrik3"/>
      </w:pPr>
      <w:r>
        <w:t>Nyckeltal MSL.12</w:t>
      </w:r>
    </w:p>
    <w:p>
      <w:pPr>
        <w:pStyle w:val="MbIndicatorNameEx"/>
      </w:pPr>
      <w:r>
        <w:t>Antal tillsynstilfällen enligt miljöbalken/ årsarbetskraft</w:t>
      </w:r>
    </w:p>
    <w:p>
      <w:pPr>
        <w:pStyle w:val="MbIndicatorGraph"/>
      </w:pPr>
      <w:r>
        <w:drawing>
          <wp:inline>
            <wp:extent cx="5238096" cy="1476191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Picture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inspektioner och tillsynsbesök inom miljöbalkstillsyn, inklusive enskilda avlopp, per årsarbetskraft.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2020 Ökning av avloppstillsyn.</w:t>
      </w:r>
    </w:p>
    <w:p>
      <w:pPr>
        <w:pStyle w:val="Rubrik3"/>
      </w:pPr>
      <w:r>
        <w:t>Nyckeltal MSL.13</w:t>
      </w:r>
    </w:p>
    <w:p>
      <w:pPr>
        <w:pStyle w:val="MbIndicatorNameEx"/>
      </w:pPr>
      <w:r>
        <w:t>Antal kontrolltillfällen enligt livsmedelslagstiftningen/ årsarbetskraft</w:t>
      </w:r>
    </w:p>
    <w:p>
      <w:pPr>
        <w:pStyle w:val="MbIndicatorGraph"/>
      </w:pPr>
      <w:r>
        <w:drawing>
          <wp:inline>
            <wp:extent cx="5238096" cy="1476191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Picture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kontroller inom livsmedelskontrollen, per årsarbetskraft.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2020 Minskning pga Covid.</w:t>
      </w:r>
      <w:r>
        <w:br/>
      </w:r>
      <w:r>
        <w:t>2022 fler ärenden i Norrtälje</w:t>
      </w:r>
    </w:p>
    <w:p>
      <w:pPr>
        <w:pStyle w:val="Rubrik3"/>
      </w:pPr>
      <w:r>
        <w:t>Nyckeltal MSL.14</w:t>
      </w:r>
    </w:p>
    <w:p>
      <w:pPr>
        <w:pStyle w:val="MbIndicatorNameEx"/>
      </w:pPr>
      <w:r>
        <w:t>Åtalsanmälningar</w:t>
      </w:r>
    </w:p>
    <w:p>
      <w:pPr>
        <w:pStyle w:val="MbIndicatorGraph"/>
      </w:pPr>
      <w:r>
        <w:drawing>
          <wp:inline>
            <wp:extent cx="5238096" cy="1476191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Picture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antal åtalsanmälningar som respektive kommun gjort under året.</w:t>
      </w:r>
    </w:p>
    <w:p>
      <w:pPr>
        <w:pStyle w:val="Rubrik3"/>
      </w:pPr>
      <w:r>
        <w:t>Nyckeltal MSL.16</w:t>
      </w:r>
    </w:p>
    <w:p>
      <w:pPr>
        <w:pStyle w:val="MbIndicatorNameEx"/>
      </w:pPr>
      <w:r>
        <w:t>Antal anläggningar för livsmedelskontroll per årsarbetskraft</w:t>
      </w:r>
    </w:p>
    <w:p>
      <w:pPr>
        <w:pStyle w:val="MbIndicatorGraph"/>
      </w:pPr>
      <w:r>
        <w:drawing>
          <wp:inline>
            <wp:extent cx="5238096" cy="1476191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Picture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antalet registrerade anläggningar vid årets slut. Tillfälliga anläggningar ingår inte.</w:t>
      </w:r>
    </w:p>
    <w:p>
      <w:pPr>
        <w:pStyle w:val="Rubrik3"/>
      </w:pPr>
      <w:r>
        <w:t>Nyckeltal MSL.17</w:t>
      </w:r>
    </w:p>
    <w:p>
      <w:pPr>
        <w:pStyle w:val="MbIndicatorNameEx"/>
      </w:pPr>
      <w:r>
        <w:t>Antal invånare i miljökontorets verksamhetsområde.</w:t>
      </w:r>
    </w:p>
    <w:p>
      <w:pPr>
        <w:pStyle w:val="MbIndicatorGraph"/>
      </w:pPr>
      <w:r>
        <w:drawing>
          <wp:inline>
            <wp:extent cx="5238096" cy="1476191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Picture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ataSource"/>
      </w:pPr>
      <w:r>
        <w:t>Datakälla: SCB</w:t>
      </w:r>
    </w:p>
    <w:p>
      <w:pPr>
        <w:pStyle w:val="MbIndicatorDescr"/>
        <w:sectPr>
          <w:headerReference w:type="default" r:id="gemHfRid20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t>Nyckeltalet visar antal invånare i kommunen respektive miljökontorets verksamhetsområde. Värdet används som beräkningsunderlag för nyckeltal 3b och 4b.</w:t>
      </w:r>
    </w:p>
    <w:p>
      <w:pPr/>
    </w:p>
    <w:sectPr>
      <w:headerReference w:type="default" r:id="gemHfRid21"/>
      <w:footerReference w:type="default" r:id="gemHfRid2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endnote>
  <w:end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footnote>
  <w:foot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ellrutnt"/>
      <w:tblLook w:firstRow="1" w:lastRow="0" w:firstColumn="1" w:lastColumn="0" w:noHBand="0" w:noVBand="1" w:val="04A0"/>
      <w:tblW w:w="0" w:type="auto"/>
      <w:tblBorders>
        <w:top w:val="nil"/>
        <w:left w:val="nil"/>
        <w:bottom w:val="single" w:sz="12" w:color="4CAF50"/>
        <w:right w:val="nil"/>
        <w:insideH w:val="nil"/>
        <w:insideV w:val="nil"/>
      </w:tblBorders>
    </w:tblPr>
    <w:tblGrid>
      <w:gridCol w:w="1239"/>
      <w:gridCol w:w="7834"/>
    </w:tblGrid>
    <w:tr>
      <w:trPr>
        <w:cnfStyle w:val="100000000000"/>
        <w:trHeight w:hRule="atLeast" w:val="1270"/>
      </w:trPr>
      <w:tc>
        <w:tcPr>
          <w:cnfStyle w:val="100000000000"/>
          <w:tcW w:w="124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Sidhuvud"/>
          </w:pPr>
          <w:r>
            <w:drawing>
              <wp:inline>
                <wp:extent cx="590550" cy="590550"/>
                <wp:effectExtent xmlns:wp="http://schemas.openxmlformats.org/drawingml/2006/wordprocessingDrawing" l="0" t="0" r="0" b="0"/>
                <wp:docPr id="39" name="Picture 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Picture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 xmlns:a="http://schemas.openxmlformats.org/drawingml/2006/main"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800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MbIndicatorCommentCaption"/>
            <w:rPr>
              <w:rFonts w:ascii="Gill Sans MT" w:hAnsi="Gill Sans MT"/>
            </w:rPr>
          </w:pPr>
          <w:r>
            <w:rPr>
              <w:rFonts w:ascii="Gill Sans MT" w:hAnsi="Gill Sans MT"/>
              <w:sz w:val="36"/>
              <w:szCs w:val="36"/>
            </w:rPr>
            <w:t>Nyckeltal för miljökontoren</w:t>
          </w:r>
        </w:p>
      </w:tc>
    </w:tr>
    <w:tr>
      <w:trPr>
        <w:cnfStyle w:val="000000000000"/>
        <w:trHeight w:hRule="atLeast" w:val="394"/>
      </w:trPr>
      <w:tc>
        <w:tcPr>
          <w:cnfStyle w:val="000000000000"/>
          <w:tcW w:w="1242" w:type="dxa"/>
          <w:tcBorders>
            <w:top w:val="single" w:sz="12" w:color="4CAF50"/>
            <w:bottom w:val="nil"/>
          </w:tcBorders>
          <w:shd w:val="clear" w:color="auto" w:fill="auto"/>
          <w:vAlign w:val="center"/>
        </w:tcPr>
        <w:p>
          <w:pPr>
            <w:cnfStyle w:val="000000000000"/>
            <w:pStyle w:val="Sidhuvud"/>
            <w:rPr/>
          </w:pPr>
        </w:p>
      </w:tc>
      <w:tc>
        <w:tcPr>
          <w:cnfStyle w:val="000000000000"/>
          <w:tcW w:w="8002" w:type="dxa"/>
          <w:tcBorders>
            <w:top w:val="single" w:sz="12" w:color="4CAF50"/>
            <w:bottom w:val="nil"/>
          </w:tcBorders>
          <w:shd w:val="clear" w:color="auto" w:fill="auto"/>
        </w:tcPr>
        <w:p>
          <w:pPr>
            <w:cnfStyle w:val="000000000000"/>
            <w:pStyle w:val="MbIndicatorCommentCaption"/>
            <w:jc w:val="right"/>
            <w:rPr>
              <w:rFonts w:ascii="Gill Sans MT" w:hAnsi="Gill Sans MT"/>
              <w:b w:val="false"/>
              <w:color w:val="808080"/>
              <w:sz w:val="18"/>
              <w:szCs w:val="18"/>
            </w:rPr>
          </w:pPr>
          <w:r>
            <w:rPr>
              <w:rFonts w:ascii="Gill Sans MT" w:hAnsi="Gill Sans MT"/>
              <w:b w:val="false"/>
              <w:color w:val="808080"/>
              <w:sz w:val="18"/>
              <w:szCs w:val="18"/>
            </w:rPr>
            <w:t>Utskrift från miljosamverkan.miljobarometern.se</w:t>
          </w:r>
        </w:p>
      </w:tc>
    </w:tr>
  </w:tbl>
  <w:p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proofState xmlns:w="http://schemas.openxmlformats.org/wordprocessingml/2006/main" w:spelling="clean" w:grammar="clean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hyphenationZone xmlns:w="http://schemas.openxmlformats.org/wordprocessingml/2006/main" w:val="425"/>
  <w:defaultTableStyle xmlns:w="http://schemas.openxmlformats.org/wordprocessingml/2006/main" w:val="Tabellrutnt"/>
  <w:characterSpacingControl xmlns:w="http://schemas.openxmlformats.org/wordprocessingml/2006/main" w:val="doNotCompress"/>
  <w:savePreviewPicture xmlns:w="http://schemas.openxmlformats.org/wordprocessingml/2006/main"/>
  <w:hdrShapeDefaults xmlns:w="http://schemas.openxmlformats.org/wordprocessingml/2006/main">
    <o:shapedefaults xmlns:v="urn:schemas-microsoft-com:vml" xmlns:o="urn:schemas-microsoft-com:office:office" v:ext="edit" spidmax="2049"/>
  </w:hdrShapeDefaults>
  <w:footnotePr xmlns:w="http://schemas.openxmlformats.org/wordprocessingml/2006/main">
    <w:footnote w:id="-1"/>
    <w:footnote w:id="0"/>
  </w:footnotePr>
  <w:endnotePr xmlns:w="http://schemas.openxmlformats.org/wordprocessingml/2006/main">
    <w:endnote w:id="-1"/>
    <w:endnote w:id="0"/>
  </w:endnotePr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 xmlns:w="http://schemas.openxmlformats.org/wordprocessingml/2006/main">
    <w:rsidRoot w:val="00806F8D"/>
    <w:rsid w:val="00024FD6"/>
    <w:rsid w:val="000504E4"/>
    <w:rsid w:val="00080F91"/>
    <w:rsid w:val="0011425C"/>
    <w:rsid w:val="00117898"/>
    <w:rsid w:val="00137343"/>
    <w:rsid w:val="00162EF9"/>
    <w:rsid w:val="00165AFF"/>
    <w:rsid w:val="002305F8"/>
    <w:rsid w:val="0030302B"/>
    <w:rsid w:val="00454CA7"/>
    <w:rsid w:val="004E6146"/>
    <w:rsid w:val="00557561"/>
    <w:rsid w:val="005A2B48"/>
    <w:rsid w:val="005D60EA"/>
    <w:rsid w:val="007304CB"/>
    <w:rsid w:val="00752DBB"/>
    <w:rsid w:val="00806F8D"/>
    <w:rsid w:val="008417DC"/>
    <w:rsid w:val="008A7881"/>
    <w:rsid w:val="008F56A4"/>
    <w:rsid w:val="00A91B40"/>
    <w:rsid w:val="00AA4B6E"/>
    <w:rsid w:val="00B37493"/>
    <w:rsid w:val="00BB2021"/>
    <w:rsid w:val="00C228DD"/>
    <w:rsid w:val="00C427DA"/>
    <w:rsid w:val="00C93530"/>
    <w:rsid w:val="00CB6D57"/>
    <w:rsid w:val="00CD5320"/>
    <w:rsid w:val="00CD5397"/>
    <w:rsid w:val="00D114FF"/>
    <w:rsid w:val="00D17731"/>
    <w:rsid w:val="00D857E4"/>
    <w:rsid w:val="00DE7485"/>
    <w:rsid w:val="00E04510"/>
    <w:rsid w:val="00E218AD"/>
    <w:rsid w:val="00E76E25"/>
    <w:rsid w:val="00EE3C4F"/>
    <w:rsid w:val="00F7594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5:docId xmlns:w15="http://schemas.microsoft.com/office/word/2012/wordml" w15:val="{8314DBAF-D56C-406A-956B-EEF8D76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sv-SE"/>
      </w:rPr>
    </w:rPrDefault>
    <w:pPrDefault>
      <w:pPr>
        <w:spacing w:after="200" w:lineRule="auto" w:line="276"/>
      </w:pPr>
    </w:pPrDefault>
  </w:docDefaults>
  <w:style w:type="paragraph" w:styleId="Normal" w:default="true">
    <w:name w:val="Normal"/>
    <w:qFormat/>
    <w:pPr/>
    <w:rPr/>
  </w:style>
  <w:style w:type="paragraph" w:styleId="Rubrik1">
    <w:name w:val="heading 1"/>
    <w:uiPriority w:val="9"/>
    <w:qFormat/>
    <w:pPr>
      <w:keepNext/>
      <w:keepLines/>
      <w:pageBreakBefore/>
      <w:spacing w:before="480" w:after="240"/>
      <w:outlineLvl w:val="0"/>
    </w:pPr>
    <w:rPr>
      <w:rFonts w:ascii="Gill Sans MT" w:hAnsi="Gill Sans MT"/>
      <w:b/>
      <w:sz w:val="40"/>
      <w:szCs w:val="40"/>
    </w:rPr>
  </w:style>
  <w:style w:type="paragraph" w:styleId="Rubrik2">
    <w:name w:val="heading 2"/>
    <w:uiPriority w:val="9"/>
    <w:unhideWhenUsed/>
    <w:qFormat/>
    <w:pPr>
      <w:keepNext/>
      <w:keepLines/>
      <w:spacing w:before="360" w:after="120"/>
      <w:outlineLvl w:val="1"/>
    </w:pPr>
    <w:rPr>
      <w:rFonts w:ascii="Gill Sans MT" w:hAnsi="Gill Sans MT"/>
      <w:b/>
      <w:sz w:val="24"/>
      <w:szCs w:val="24"/>
    </w:rPr>
  </w:style>
  <w:style w:type="paragraph" w:styleId="Rubrik3">
    <w:name w:val="heading 3"/>
    <w:uiPriority w:val="9"/>
    <w:unhideWhenUsed/>
    <w:qFormat/>
    <w:pPr>
      <w:keepNext/>
      <w:keepLines/>
      <w:spacing w:before="320" w:after="120"/>
      <w:outlineLvl w:val="2"/>
    </w:pPr>
    <w:rPr>
      <w:rFonts w:ascii="Gill Sans MT" w:hAnsi="Gill Sans MT"/>
      <w:b/>
      <w:sz w:val="20"/>
      <w:szCs w:val="20"/>
    </w:rPr>
  </w:style>
  <w:style w:type="paragraph" w:styleId="Rubrik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="Gill Sans MT" w:hAnsi="Gill Sans MT"/>
      <w:b/>
      <w:i/>
      <w:color w:val="000000"/>
      <w:sz w:val="20"/>
      <w:szCs w:val="20"/>
    </w:rPr>
  </w:style>
  <w:style w:type="character" w:styleId="Standardstycketeckensnitt" w:default="true">
    <w:name w:val="Default Paragraph Font"/>
    <w:uiPriority w:val="1"/>
    <w:semiHidden/>
    <w:unhideWhenUsed/>
    <w:rPr/>
  </w:style>
  <w:style w:type="table" w:styleId="Normaltabel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Ingenlista" w:default="true">
    <w:name w:val="No List"/>
    <w:uiPriority w:val="99"/>
    <w:semiHidden/>
    <w:unhideWhenUsed/>
  </w:style>
  <w:style w:type="paragraph" w:styleId="MbTitle">
    <w:name w:val="MbTitle"/>
    <w:qFormat/>
    <w:pPr>
      <w:spacing w:before="800" w:after="600"/>
    </w:pPr>
    <w:rPr>
      <w:rFonts w:ascii="Gill Sans MT" w:hAnsi="Gill Sans MT"/>
      <w:sz w:val="44"/>
      <w:szCs w:val="44"/>
    </w:rPr>
  </w:style>
  <w:style w:type="paragraph" w:styleId="MbBold">
    <w:name w:val="MbBold"/>
    <w:qFormat/>
    <w:pPr/>
    <w:rPr>
      <w:b/>
    </w:rPr>
  </w:style>
  <w:style w:type="paragraph" w:styleId="MbIndicatorNameEx">
    <w:name w:val="MbIndicatorNameEx"/>
    <w:qFormat/>
    <w:pPr>
      <w:keepNext/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auto" w:fill="EAF1DD"/>
      <w:spacing w:before="120" w:after="0"/>
      <w:ind w:left="57" w:right="57"/>
    </w:pPr>
    <w:rPr>
      <w:b/>
    </w:rPr>
  </w:style>
  <w:style w:type="paragraph" w:styleId="MbIndicatorGraph">
    <w:name w:val="MbIndicatorGraph"/>
    <w:qFormat/>
    <w:pPr>
      <w:keepLines/>
      <w:pBdr>
        <w:left w:val="single" w:sz="4" w:color="auto"/>
        <w:bottom w:val="single" w:sz="4" w:color="auto"/>
        <w:right w:val="single" w:sz="4" w:color="auto"/>
      </w:pBdr>
      <w:ind w:left="57" w:right="57"/>
    </w:pPr>
    <w:rPr/>
  </w:style>
  <w:style w:type="paragraph" w:styleId="MbIndicatorMeasureAreaComment">
    <w:name w:val="MbIndicatorMeasureAreaComment"/>
    <w:qFormat/>
    <w:pPr/>
    <w:rPr/>
  </w:style>
  <w:style w:type="paragraph" w:styleId="MbIndicatorComment">
    <w:name w:val="MbIndicatorComment"/>
    <w:qFormat/>
    <w:pPr/>
    <w:rPr/>
  </w:style>
  <w:style w:type="paragraph" w:styleId="Sidhuvud">
    <w:name w:val="header"/>
    <w:basedOn w:val="Normal"/>
    <w:uiPriority w:val="99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huvudChar">
    <w:name w:val="Sidhuvud Char"/>
    <w:basedOn w:val="Standardstycketeckensnitt"/>
    <w:uiPriority w:val="99"/>
    <w:qFormat/>
    <w:rPr/>
  </w:style>
  <w:style w:type="paragraph" w:styleId="Sidfot">
    <w:name w:val="footer"/>
    <w:basedOn w:val="Normal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fotChar">
    <w:name w:val="Sidfot Char"/>
    <w:basedOn w:val="Standardstycketeckensnitt"/>
    <w:qFormat/>
    <w:rPr/>
  </w:style>
  <w:style w:type="paragraph" w:styleId="Ingetavstnd">
    <w:name w:val="No Spacing"/>
    <w:qFormat/>
    <w:pPr>
      <w:spacing w:after="0" w:lineRule="auto" w:line="240"/>
    </w:pPr>
    <w:rPr/>
  </w:style>
  <w:style w:type="character" w:styleId="IngetavstndChar">
    <w:name w:val="Inget avstånd Char"/>
    <w:basedOn w:val="Standardstycketeckensnitt"/>
    <w:qFormat/>
    <w:rPr>
      <w:rFonts w:ascii="Calibri" w:hAnsi="Calibri"/>
    </w:rPr>
  </w:style>
  <w:style w:type="character" w:styleId="Hyperlnk">
    <w:name w:val="Hyperlink"/>
    <w:basedOn w:val="Standardstycketeckensnitt"/>
    <w:uiPriority w:val="99"/>
    <w:qFormat/>
    <w:rPr>
      <w:color w:val="0000FF"/>
      <w:u w:val="single"/>
    </w:rPr>
  </w:style>
  <w:style w:type="paragraph" w:styleId="MbMainNameEx">
    <w:name w:val="MbMainNameEx"/>
    <w:qFormat/>
    <w:pPr/>
    <w:rPr/>
  </w:style>
  <w:style w:type="paragraph" w:styleId="MbMainDescr">
    <w:name w:val="MbMainDescr"/>
    <w:qFormat/>
    <w:pPr/>
    <w:rPr/>
  </w:style>
  <w:style w:type="paragraph" w:styleId="MbSubMainEx">
    <w:name w:val="MbSubMainEx"/>
    <w:qFormat/>
    <w:pPr>
      <w:pBdr>
        <w:top w:val="single" w:sz="4" w:color="A6A6A6"/>
        <w:left w:val="single" w:sz="4" w:color="A6A6A6"/>
        <w:bottom w:val="single" w:sz="4" w:color="A6A6A6"/>
        <w:right w:val="single" w:sz="4" w:color="A6A6A6"/>
      </w:pBdr>
      <w:shd w:val="clear" w:color="auto" w:fill="F2F2F2"/>
    </w:pPr>
    <w:rPr/>
  </w:style>
  <w:style w:type="paragraph" w:styleId="MbSubDescr">
    <w:name w:val="MbSubDescr"/>
    <w:qFormat/>
    <w:pPr/>
    <w:rPr/>
  </w:style>
  <w:style w:type="paragraph" w:styleId="MbIndicatorDataSource">
    <w:name w:val="MbIndicatorDataSource"/>
    <w:qFormat/>
    <w:pPr/>
    <w:rPr>
      <w:i/>
    </w:rPr>
  </w:style>
  <w:style w:type="paragraph" w:styleId="MbIndicatorDescr">
    <w:name w:val="MbIndicatorDescr"/>
    <w:qFormat/>
    <w:pPr/>
    <w:rPr/>
  </w:style>
  <w:style w:type="paragraph" w:styleId="MbActivityNameEx">
    <w:name w:val="MbActivityNameEx"/>
    <w:qFormat/>
    <w:pPr/>
    <w:rPr/>
  </w:style>
  <w:style w:type="paragraph" w:styleId="MbActivityDescr">
    <w:name w:val="MbActivityDescr"/>
    <w:qFormat/>
    <w:pPr/>
    <w:rPr/>
  </w:style>
  <w:style w:type="paragraph" w:styleId="MbActivityComment">
    <w:name w:val="MbActivityComment"/>
    <w:qFormat/>
    <w:pPr/>
    <w:rPr/>
  </w:style>
  <w:style w:type="table" w:styleId="Tabellrutnt">
    <w:name w:val="Table Grid"/>
    <w:basedOn w:val="Normaltabell"/>
    <w:uiPriority w:val="59"/>
    <w:pPr>
      <w:spacing w:before="80" w:after="8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nil"/>
        <w:insideV w:val="nil"/>
      </w:tblBorders>
    </w:tblPr>
    <w:trPr/>
    <w:tcPr/>
    <w:tblStylePr w:type="band2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firstRow">
      <w:pPr/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bottom w:val="single" w:sz="4" w:color="auto"/>
        </w:tcBorders>
        <w:shd w:val="clear" w:color="auto" w:fill="B8CCE4"/>
      </w:tcPr>
    </w:tblStylePr>
  </w:style>
  <w:style w:type="table" w:styleId="Ljusskuggning-dekorfrg5">
    <w:name w:val="Light Shading Accent 5"/>
    <w:basedOn w:val="Normaltabell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</w:style>
  <w:style w:type="table" w:styleId="Ljuslista-dekorfrg5">
    <w:name w:val="Light List Accent 5"/>
    <w:basedOn w:val="Normaltabell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color="4BACC6"/>
        <w:left w:val="single" w:sz="8" w:color="4BACC6"/>
        <w:bottom w:val="single" w:sz="8" w:color="4BACC6"/>
        <w:right w:val="single" w:sz="8" w:color="4BACC6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4BACC6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6" w:color="4BACC6"/>
          <w:left w:val="single" w:sz="8" w:color="4BACC6"/>
          <w:bottom w:val="single" w:sz="8" w:color="4BACC6"/>
          <w:right w:val="single" w:sz="8" w:color="4BACC6"/>
        </w:tcBorders>
      </w:tcPr>
    </w:tblStylePr>
  </w:style>
  <w:style w:type="table" w:styleId="Mellanmrklista1-dekorfrg5">
    <w:name w:val="Medium List 1 Accent 5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BACC6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</w:style>
  <w:style w:type="table" w:styleId="Mellanmrklista1-dekorfrg1">
    <w:name w:val="Medium List 1 Accent 1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F81BD"/>
        <w:left w:val="nil"/>
        <w:bottom w:val="single" w:sz="8" w:color="4F81BD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F81BD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</w:style>
  <w:style w:type="table" w:styleId="Ljusskuggning-dekorfrg3">
    <w:name w:val="Light Shading Accent 3"/>
    <w:basedOn w:val="Normaltabell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Borders>
        <w:top w:val="single" w:sz="8" w:color="9BBB59"/>
        <w:left w:val="nil"/>
        <w:bottom w:val="single" w:sz="8" w:color="9BBB59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</w:style>
  <w:style w:type="table" w:styleId="Ljusskuggning-dekorfrg1">
    <w:name w:val="Light Shading Accent 1"/>
    <w:basedOn w:val="Normaltabell"/>
    <w:uiPriority w:val="60"/>
    <w:pPr>
      <w:spacing w:before="120" w:after="120" w:lineRule="auto" w:line="240"/>
    </w:pPr>
    <w:rPr/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</w:tblPr>
    <w:trPr/>
    <w:tcPr>
      <w:shd w:val="clear" w:color="auto" w:fill="auto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3DFEE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B8CCE4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left w:val="nil"/>
          <w:bottom w:val="single" w:sz="8" w:color="4F81BD"/>
          <w:right w:val="nil"/>
        </w:tcBorders>
      </w:tcPr>
    </w:tblStylePr>
  </w:style>
  <w:style w:type="paragraph" w:styleId="Innehllsfrteckningsrubrik">
    <w:name w:val="TOC Heading"/>
    <w:basedOn w:val="Rubrik1"/>
    <w:uiPriority w:val="39"/>
    <w:semiHidden/>
    <w:unhideWhenUsed/>
    <w:qFormat/>
    <w:pPr>
      <w:pageBreakBefore w:val="false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Innehll1">
    <w:name w:val="toc 1"/>
    <w:basedOn w:val="Normal"/>
    <w:uiPriority w:val="39"/>
    <w:unhideWhenUsed/>
    <w:pPr>
      <w:spacing w:after="100"/>
    </w:pPr>
    <w:rPr/>
  </w:style>
  <w:style w:type="paragraph" w:styleId="Innehll2">
    <w:name w:val="toc 2"/>
    <w:basedOn w:val="Normal"/>
    <w:uiPriority w:val="39"/>
    <w:unhideWhenUsed/>
    <w:pPr>
      <w:spacing w:after="100"/>
      <w:ind w:left="220"/>
    </w:pPr>
    <w:rPr/>
  </w:style>
  <w:style w:type="paragraph" w:styleId="Innehll3">
    <w:name w:val="toc 3"/>
    <w:basedOn w:val="Normal"/>
    <w:uiPriority w:val="39"/>
    <w:unhideWhenUsed/>
    <w:pPr>
      <w:spacing w:after="100"/>
      <w:ind w:left="440"/>
    </w:pPr>
    <w:rPr/>
  </w:style>
  <w:style w:type="paragraph" w:styleId="Innehll4">
    <w:name w:val="toc 4"/>
    <w:basedOn w:val="Normal"/>
    <w:uiPriority w:val="39"/>
    <w:unhideWhenUsed/>
    <w:pPr>
      <w:spacing w:after="100"/>
      <w:ind w:left="660"/>
    </w:pPr>
    <w:rPr/>
  </w:style>
  <w:style w:type="paragraph" w:styleId="Innehll5">
    <w:name w:val="toc 5"/>
    <w:basedOn w:val="Normal"/>
    <w:uiPriority w:val="39"/>
    <w:unhideWhenUsed/>
    <w:pPr>
      <w:spacing w:after="100"/>
      <w:ind w:left="880"/>
    </w:pPr>
    <w:rPr/>
  </w:style>
  <w:style w:type="paragraph" w:styleId="Innehll6">
    <w:name w:val="toc 6"/>
    <w:basedOn w:val="Normal"/>
    <w:uiPriority w:val="39"/>
    <w:unhideWhenUsed/>
    <w:pPr>
      <w:spacing w:after="100"/>
      <w:ind w:left="1100"/>
    </w:pPr>
    <w:rPr/>
  </w:style>
  <w:style w:type="paragraph" w:styleId="Innehll7">
    <w:name w:val="toc 7"/>
    <w:basedOn w:val="Normal"/>
    <w:uiPriority w:val="39"/>
    <w:unhideWhenUsed/>
    <w:pPr>
      <w:spacing w:after="100"/>
      <w:ind w:left="1320"/>
    </w:pPr>
    <w:rPr/>
  </w:style>
  <w:style w:type="paragraph" w:styleId="Innehll8">
    <w:name w:val="toc 8"/>
    <w:basedOn w:val="Normal"/>
    <w:uiPriority w:val="39"/>
    <w:unhideWhenUsed/>
    <w:pPr>
      <w:spacing w:after="100"/>
      <w:ind w:left="1540"/>
    </w:pPr>
    <w:rPr/>
  </w:style>
  <w:style w:type="paragraph" w:styleId="Innehll9">
    <w:name w:val="toc 9"/>
    <w:basedOn w:val="Normal"/>
    <w:uiPriority w:val="39"/>
    <w:unhideWhenUsed/>
    <w:pPr>
      <w:spacing w:after="100"/>
      <w:ind w:left="1760"/>
    </w:pPr>
    <w:rPr/>
  </w:style>
  <w:style w:type="paragraph" w:styleId="MbIndicatorCommentCaption">
    <w:name w:val="MbIndicatorCommentCaption"/>
    <w:qFormat/>
    <w:pPr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Rule="auto" w:line="240"/>
    </w:pPr>
    <w:rPr>
      <w:rFonts w:ascii="Segoe UI" w:hAnsi="Segoe UI"/>
      <w:sz w:val="18"/>
      <w:szCs w:val="18"/>
    </w:rPr>
  </w:style>
  <w:style w:type="character" w:styleId="BallongtextChar">
    <w:name w:val="Ballongtext Char"/>
    <w:basedOn w:val="Standardstycketeckensnitt"/>
    <w:link w:val="Ballong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3" Type="http://schemas.openxmlformats.org/officeDocument/2006/relationships/settings" Target="settings.xml" /><Relationship Id="PictureId1" Type="http://schemas.openxmlformats.org/officeDocument/2006/relationships/image" Target="media/image1.png" /><Relationship Id="PictureId2" Type="http://schemas.openxmlformats.org/officeDocument/2006/relationships/image" Target="media/image2.png" /><Relationship Id="PictureId3" Type="http://schemas.openxmlformats.org/officeDocument/2006/relationships/image" Target="media/image3.png" /><Relationship Id="PictureId4" Type="http://schemas.openxmlformats.org/officeDocument/2006/relationships/image" Target="media/image4.png" /><Relationship Id="PictureId5" Type="http://schemas.openxmlformats.org/officeDocument/2006/relationships/image" Target="media/image5.png" /><Relationship Id="PictureId6" Type="http://schemas.openxmlformats.org/officeDocument/2006/relationships/image" Target="media/image6.png" /><Relationship Id="PictureId7" Type="http://schemas.openxmlformats.org/officeDocument/2006/relationships/image" Target="media/image7.png" /><Relationship Id="PictureId8" Type="http://schemas.openxmlformats.org/officeDocument/2006/relationships/image" Target="media/image8.png" /><Relationship Id="PictureId9" Type="http://schemas.openxmlformats.org/officeDocument/2006/relationships/image" Target="media/image9.png" /><Relationship Id="PictureId10" Type="http://schemas.openxmlformats.org/officeDocument/2006/relationships/image" Target="media/image10.png" /><Relationship Id="PictureId11" Type="http://schemas.openxmlformats.org/officeDocument/2006/relationships/image" Target="media/image11.png" /><Relationship Id="PictureId12" Type="http://schemas.openxmlformats.org/officeDocument/2006/relationships/image" Target="media/image12.png" /><Relationship Id="PictureId13" Type="http://schemas.openxmlformats.org/officeDocument/2006/relationships/image" Target="media/image13.png" /><Relationship Id="PictureId14" Type="http://schemas.openxmlformats.org/officeDocument/2006/relationships/image" Target="media/image14.png" /><Relationship Id="PictureId15" Type="http://schemas.openxmlformats.org/officeDocument/2006/relationships/image" Target="media/image15.png" /><Relationship Id="PictureId16" Type="http://schemas.openxmlformats.org/officeDocument/2006/relationships/image" Target="media/image16.png" /><Relationship Id="PictureId17" Type="http://schemas.openxmlformats.org/officeDocument/2006/relationships/image" Target="media/image17.png" /><Relationship Id="PictureId18" Type="http://schemas.openxmlformats.org/officeDocument/2006/relationships/image" Target="media/image18.png" /><Relationship Id="PictureId19" Type="http://schemas.openxmlformats.org/officeDocument/2006/relationships/image" Target="media/image19.png" /><Relationship Id="gemHfRid20" Type="http://schemas.openxmlformats.org/officeDocument/2006/relationships/header" Target="header1.xml" /><Relationship Id="gemHfRid21" Type="http://schemas.openxmlformats.org/officeDocument/2006/relationships/header" Target="header2.xml" /><Relationship Id="gemHfRid22" Type="http://schemas.openxmlformats.org/officeDocument/2006/relationships/footer" Target="footer1.xml" /><Relationship Id="rId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 /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20.png" /></Relationships>
</file>

<file path=word/_rels/header2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C484-C25C-4AA4-AC21-07DABF5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Lindell</cp:lastModifiedBy>
  <dcterms:created xsi:type="dcterms:W3CDTF">2019-03-26T11:56:00Z</dcterms:created>
  <dcterms:modified xsi:type="dcterms:W3CDTF">2019-03-26T12:17:00Z</dcterms:modified>
  <cp:revision xmlns:cp="http://schemas.openxmlformats.org/package/2006/metadata/core-properties">5</cp:revision>
</cp:coreProperties>
</file>