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7A1A1" w14:textId="77777777" w:rsidR="00CE0E45" w:rsidRPr="00D25C87" w:rsidRDefault="00CE0E45" w:rsidP="00CE0E45">
      <w:pPr>
        <w:pStyle w:val="Rubrik1"/>
        <w:rPr>
          <w:b/>
          <w:sz w:val="32"/>
        </w:rPr>
      </w:pPr>
      <w:r w:rsidRPr="00D25C87">
        <w:rPr>
          <w:b/>
          <w:sz w:val="32"/>
        </w:rPr>
        <w:t>Nyckeltal – definitioner</w:t>
      </w:r>
      <w:r w:rsidR="00B926C4" w:rsidRPr="00D25C87">
        <w:rPr>
          <w:b/>
          <w:sz w:val="32"/>
        </w:rPr>
        <w:t xml:space="preserve"> och årlig inrapportering</w:t>
      </w:r>
    </w:p>
    <w:p w14:paraId="7F3046E4" w14:textId="77777777" w:rsidR="00D8182A" w:rsidRPr="005A1614" w:rsidRDefault="008624CA" w:rsidP="005A1614">
      <w:pPr>
        <w:pStyle w:val="Brdtext"/>
        <w:rPr>
          <w:rStyle w:val="Hyperlnk"/>
          <w:color w:val="auto"/>
          <w:u w:val="none"/>
          <w:lang w:eastAsia="en-US"/>
        </w:rPr>
      </w:pPr>
      <w:r w:rsidRPr="008624CA">
        <w:rPr>
          <w:rFonts w:ascii="Arial" w:hAnsi="Arial" w:cs="Arial"/>
          <w:b/>
          <w:sz w:val="24"/>
          <w:szCs w:val="24"/>
          <w:lang w:eastAsia="en-US"/>
        </w:rPr>
        <w:t>Bakgrund</w:t>
      </w:r>
    </w:p>
    <w:p w14:paraId="7A1CA2C7" w14:textId="77777777" w:rsidR="00CE0E45" w:rsidRDefault="008E54E2" w:rsidP="00CE0E45">
      <w:pPr>
        <w:pStyle w:val="Brdtext"/>
        <w:rPr>
          <w:lang w:eastAsia="en-US"/>
        </w:rPr>
      </w:pPr>
      <w:r w:rsidRPr="005A1614">
        <w:rPr>
          <w:noProof/>
        </w:rPr>
        <w:drawing>
          <wp:anchor distT="0" distB="0" distL="114300" distR="114300" simplePos="0" relativeHeight="251659264" behindDoc="0" locked="0" layoutInCell="1" allowOverlap="1" wp14:anchorId="7FD4034C" wp14:editId="038F8A1A">
            <wp:simplePos x="0" y="0"/>
            <wp:positionH relativeFrom="column">
              <wp:posOffset>4236720</wp:posOffset>
            </wp:positionH>
            <wp:positionV relativeFrom="paragraph">
              <wp:posOffset>74930</wp:posOffset>
            </wp:positionV>
            <wp:extent cx="1800225" cy="2025650"/>
            <wp:effectExtent l="19050" t="19050" r="28575" b="12700"/>
            <wp:wrapSquare wrapText="bothSides"/>
            <wp:docPr id="1" name="Bildobjekt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C84AE.tmp"/>
                    <pic:cNvPicPr/>
                  </pic:nvPicPr>
                  <pic:blipFill rotWithShape="1">
                    <a:blip r:embed="rId11" cstate="print">
                      <a:extLst>
                        <a:ext uri="{28A0092B-C50C-407E-A947-70E740481C1C}">
                          <a14:useLocalDpi xmlns:a14="http://schemas.microsoft.com/office/drawing/2010/main" val="0"/>
                        </a:ext>
                      </a:extLst>
                    </a:blip>
                    <a:srcRect l="13989" t="5382" r="35193" b="3116"/>
                    <a:stretch/>
                  </pic:blipFill>
                  <pic:spPr bwMode="auto">
                    <a:xfrm>
                      <a:off x="0" y="0"/>
                      <a:ext cx="1800225" cy="2025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614">
        <w:rPr>
          <w:lang w:eastAsia="en-US"/>
        </w:rPr>
        <w:t xml:space="preserve">De flesta av nyckeltalen är framtagna av Miljösamverkan Stockholms län och används också av Miljösamverkan Skåne. </w:t>
      </w:r>
      <w:r w:rsidR="0044469A">
        <w:rPr>
          <w:lang w:eastAsia="en-US"/>
        </w:rPr>
        <w:t xml:space="preserve">Vissa av nyckeltalen har av Miljösamverkan Jönköpings län definierats ytterligare. </w:t>
      </w:r>
      <w:r w:rsidR="005A1614">
        <w:rPr>
          <w:lang w:eastAsia="en-US"/>
        </w:rPr>
        <w:t>Nyckelta</w:t>
      </w:r>
      <w:r w:rsidR="0080263C">
        <w:rPr>
          <w:lang w:eastAsia="en-US"/>
        </w:rPr>
        <w:t xml:space="preserve">len gör det möjligt att göra jämförelser </w:t>
      </w:r>
      <w:r w:rsidR="005A1614">
        <w:rPr>
          <w:lang w:eastAsia="en-US"/>
        </w:rPr>
        <w:t>kommunerna emellan.</w:t>
      </w:r>
    </w:p>
    <w:p w14:paraId="379DA4DA" w14:textId="77777777" w:rsidR="008624CA" w:rsidRDefault="008624CA" w:rsidP="00CE0E45">
      <w:pPr>
        <w:pStyle w:val="Brdtext"/>
        <w:rPr>
          <w:lang w:eastAsia="en-US"/>
        </w:rPr>
      </w:pPr>
    </w:p>
    <w:p w14:paraId="35CA2313" w14:textId="77777777" w:rsidR="008624CA" w:rsidRPr="008624CA" w:rsidRDefault="00B926C4" w:rsidP="00CE0E45">
      <w:pPr>
        <w:pStyle w:val="Brdtext"/>
        <w:rPr>
          <w:rFonts w:ascii="Arial" w:hAnsi="Arial" w:cs="Arial"/>
          <w:b/>
          <w:sz w:val="24"/>
          <w:szCs w:val="24"/>
          <w:lang w:eastAsia="en-US"/>
        </w:rPr>
      </w:pPr>
      <w:r>
        <w:rPr>
          <w:rFonts w:ascii="Arial" w:hAnsi="Arial" w:cs="Arial"/>
          <w:b/>
          <w:sz w:val="24"/>
          <w:szCs w:val="24"/>
          <w:lang w:eastAsia="en-US"/>
        </w:rPr>
        <w:t>Årlig inrapportering av</w:t>
      </w:r>
      <w:r w:rsidR="008624CA" w:rsidRPr="008624CA">
        <w:rPr>
          <w:rFonts w:ascii="Arial" w:hAnsi="Arial" w:cs="Arial"/>
          <w:b/>
          <w:sz w:val="24"/>
          <w:szCs w:val="24"/>
          <w:lang w:eastAsia="en-US"/>
        </w:rPr>
        <w:t xml:space="preserve"> nyckeltal för Jönköpings län</w:t>
      </w:r>
    </w:p>
    <w:p w14:paraId="26B06E9D" w14:textId="77777777" w:rsidR="008624CA" w:rsidRPr="00867DFA" w:rsidRDefault="008624CA" w:rsidP="00867DFA">
      <w:pPr>
        <w:pStyle w:val="Brdtext"/>
        <w:rPr>
          <w:rStyle w:val="Hyperlnk"/>
          <w:color w:val="auto"/>
          <w:u w:val="none"/>
          <w:lang w:eastAsia="en-US"/>
        </w:rPr>
      </w:pPr>
      <w:r w:rsidRPr="005A1614">
        <w:rPr>
          <w:lang w:eastAsia="en-US"/>
        </w:rPr>
        <w:t>Nyc</w:t>
      </w:r>
      <w:r w:rsidR="0044469A">
        <w:rPr>
          <w:lang w:eastAsia="en-US"/>
        </w:rPr>
        <w:t xml:space="preserve">keltalen för Jönköpings län </w:t>
      </w:r>
      <w:r w:rsidRPr="005A1614">
        <w:rPr>
          <w:lang w:eastAsia="en-US"/>
        </w:rPr>
        <w:t xml:space="preserve">läggs </w:t>
      </w:r>
      <w:r w:rsidR="00F21D9D">
        <w:rPr>
          <w:lang w:eastAsia="en-US"/>
        </w:rPr>
        <w:t xml:space="preserve">in </w:t>
      </w:r>
      <w:r w:rsidRPr="005A1614">
        <w:rPr>
          <w:lang w:eastAsia="en-US"/>
        </w:rPr>
        <w:t xml:space="preserve">på </w:t>
      </w:r>
      <w:hyperlink r:id="rId12" w:history="1">
        <w:r w:rsidRPr="005A1614">
          <w:rPr>
            <w:rStyle w:val="Hyperlnk"/>
            <w:lang w:eastAsia="en-US"/>
          </w:rPr>
          <w:t>www.miljobarometern.se</w:t>
        </w:r>
      </w:hyperlink>
      <w:r w:rsidRPr="005A1614">
        <w:rPr>
          <w:lang w:eastAsia="en-US"/>
        </w:rPr>
        <w:t xml:space="preserve"> </w:t>
      </w:r>
      <w:r w:rsidR="006D42AB">
        <w:rPr>
          <w:lang w:eastAsia="en-US"/>
        </w:rPr>
        <w:t xml:space="preserve">via  </w:t>
      </w:r>
      <w:r w:rsidR="006D42AB">
        <w:t xml:space="preserve"> </w:t>
      </w:r>
      <w:hyperlink r:id="rId13" w:history="1">
        <w:r w:rsidR="006D42AB">
          <w:rPr>
            <w:rStyle w:val="Hyperlnk"/>
          </w:rPr>
          <w:t>https://miljosamverkan.internal.miljobarometern.se/service/login</w:t>
        </w:r>
      </w:hyperlink>
      <w:r w:rsidR="006D42AB">
        <w:t xml:space="preserve"> </w:t>
      </w:r>
      <w:r w:rsidRPr="00981BA3">
        <w:rPr>
          <w:b/>
          <w:i/>
          <w:lang w:eastAsia="en-US"/>
        </w:rPr>
        <w:t xml:space="preserve">senast </w:t>
      </w:r>
      <w:r w:rsidR="00981BA3">
        <w:rPr>
          <w:b/>
          <w:i/>
          <w:lang w:eastAsia="en-US"/>
        </w:rPr>
        <w:t xml:space="preserve">den </w:t>
      </w:r>
      <w:r w:rsidR="005E1984" w:rsidRPr="00981BA3">
        <w:rPr>
          <w:b/>
          <w:i/>
          <w:lang w:eastAsia="en-US"/>
        </w:rPr>
        <w:t>1 april</w:t>
      </w:r>
      <w:r w:rsidR="00DC062D">
        <w:rPr>
          <w:b/>
          <w:i/>
          <w:lang w:eastAsia="en-US"/>
        </w:rPr>
        <w:t xml:space="preserve"> årligen</w:t>
      </w:r>
      <w:r w:rsidR="00732316">
        <w:rPr>
          <w:b/>
          <w:i/>
          <w:lang w:eastAsia="en-US"/>
        </w:rPr>
        <w:t xml:space="preserve"> och avser </w:t>
      </w:r>
      <w:r w:rsidR="00AA7192">
        <w:rPr>
          <w:b/>
          <w:i/>
          <w:lang w:eastAsia="en-US"/>
        </w:rPr>
        <w:t xml:space="preserve">uppgifter </w:t>
      </w:r>
      <w:r w:rsidR="00F21D9D">
        <w:rPr>
          <w:b/>
          <w:i/>
          <w:lang w:eastAsia="en-US"/>
        </w:rPr>
        <w:t>från</w:t>
      </w:r>
      <w:r w:rsidR="00AA7192">
        <w:rPr>
          <w:b/>
          <w:i/>
          <w:lang w:eastAsia="en-US"/>
        </w:rPr>
        <w:t xml:space="preserve"> </w:t>
      </w:r>
      <w:r w:rsidR="00732316">
        <w:rPr>
          <w:b/>
          <w:i/>
          <w:lang w:eastAsia="en-US"/>
        </w:rPr>
        <w:t>bokslutsåret innan</w:t>
      </w:r>
      <w:r w:rsidRPr="002A089A">
        <w:rPr>
          <w:lang w:eastAsia="en-US"/>
        </w:rPr>
        <w:t xml:space="preserve">. </w:t>
      </w:r>
      <w:r w:rsidR="0044469A">
        <w:rPr>
          <w:lang w:eastAsia="en-US"/>
        </w:rPr>
        <w:t xml:space="preserve">Varje kommun lägger själv in sina nyckeltal via sin inloggning. </w:t>
      </w:r>
      <w:r w:rsidR="00732316">
        <w:rPr>
          <w:lang w:eastAsia="en-US"/>
        </w:rPr>
        <w:t xml:space="preserve">Publicering externt görs </w:t>
      </w:r>
      <w:r w:rsidR="00AA7192">
        <w:rPr>
          <w:lang w:eastAsia="en-US"/>
        </w:rPr>
        <w:t xml:space="preserve">av länssamordnaren </w:t>
      </w:r>
      <w:r w:rsidR="00732316">
        <w:rPr>
          <w:lang w:eastAsia="en-US"/>
        </w:rPr>
        <w:t xml:space="preserve">när alla lagt in sina nyckeltal. </w:t>
      </w:r>
      <w:r w:rsidRPr="002A089A">
        <w:rPr>
          <w:lang w:eastAsia="en-US"/>
        </w:rPr>
        <w:t>Underlag</w:t>
      </w:r>
      <w:r>
        <w:rPr>
          <w:lang w:eastAsia="en-US"/>
        </w:rPr>
        <w:t xml:space="preserve"> till </w:t>
      </w:r>
      <w:r w:rsidR="00D25C87">
        <w:rPr>
          <w:lang w:eastAsia="en-US"/>
        </w:rPr>
        <w:t xml:space="preserve">några av nyckeltalen </w:t>
      </w:r>
      <w:r>
        <w:rPr>
          <w:lang w:eastAsia="en-US"/>
        </w:rPr>
        <w:t>hämtas ur länets gemensamma mall för behovsutredning.</w:t>
      </w:r>
    </w:p>
    <w:p w14:paraId="5990474A" w14:textId="77777777" w:rsidR="00CE0E45" w:rsidRPr="00CB1772" w:rsidRDefault="00CE0E45" w:rsidP="00CE0E45">
      <w:pPr>
        <w:pStyle w:val="Nyckeltal"/>
      </w:pPr>
      <w:r w:rsidRPr="00CB1772">
        <w:t>Timtaxa miljöbalkstillsyn</w:t>
      </w:r>
    </w:p>
    <w:p w14:paraId="0F0BBBF3" w14:textId="77777777" w:rsidR="00CE0E45" w:rsidRPr="00CB1772" w:rsidRDefault="00CE0E45" w:rsidP="00CE0E45">
      <w:pPr>
        <w:pStyle w:val="Rubrik4"/>
      </w:pPr>
      <w:r w:rsidRPr="00CB1772">
        <w:t xml:space="preserve">Syfte </w:t>
      </w:r>
    </w:p>
    <w:p w14:paraId="5036197D" w14:textId="77777777" w:rsidR="00CE0E45" w:rsidRPr="00CB1772" w:rsidRDefault="00CE0E45" w:rsidP="00CE0E45">
      <w:pPr>
        <w:pStyle w:val="Brdtext"/>
      </w:pPr>
      <w:r w:rsidRPr="00CB1772">
        <w:t>Nyckeltalet visar kostnaden för en tillsynstimme. Det gör det möjligt att jämföra kostnadsnivån mellan miljö</w:t>
      </w:r>
      <w:r w:rsidR="005A1614" w:rsidRPr="00CB1772">
        <w:t>förvaltningar</w:t>
      </w:r>
      <w:r w:rsidR="008E54E2">
        <w:t>na</w:t>
      </w:r>
      <w:r w:rsidRPr="00CB1772">
        <w:t>.</w:t>
      </w:r>
    </w:p>
    <w:p w14:paraId="467CC3CD" w14:textId="77777777" w:rsidR="00CE0E45" w:rsidRPr="00CB1772" w:rsidRDefault="00CE0E45" w:rsidP="00CE0E45">
      <w:pPr>
        <w:pStyle w:val="Rubrik4"/>
      </w:pPr>
      <w:r w:rsidRPr="00CB1772">
        <w:t>Definition</w:t>
      </w:r>
    </w:p>
    <w:p w14:paraId="3B705ED3" w14:textId="77777777" w:rsidR="00CE0E45" w:rsidRPr="00CB1772" w:rsidRDefault="00CE0E45" w:rsidP="00CE0E45">
      <w:pPr>
        <w:pStyle w:val="Brdtext"/>
        <w:rPr>
          <w:rStyle w:val="Diskretbetoning"/>
          <w:i w:val="0"/>
          <w:iCs w:val="0"/>
        </w:rPr>
      </w:pPr>
      <w:r w:rsidRPr="00CB1772">
        <w:t>Enhet:</w:t>
      </w:r>
      <w:r w:rsidR="00EC5A51">
        <w:t xml:space="preserve"> Kronor/timma</w:t>
      </w:r>
    </w:p>
    <w:p w14:paraId="60F285D7" w14:textId="77777777" w:rsidR="00CE0E45" w:rsidRPr="00CB1772" w:rsidRDefault="00CE0E45" w:rsidP="00CE0E45">
      <w:pPr>
        <w:pStyle w:val="Nyckeltal"/>
      </w:pPr>
      <w:r w:rsidRPr="00CB1772">
        <w:t>Timtaxa livsmedelskontroll</w:t>
      </w:r>
    </w:p>
    <w:p w14:paraId="530563FE" w14:textId="77777777" w:rsidR="00CE0E45" w:rsidRPr="00CB1772" w:rsidRDefault="00CE0E45" w:rsidP="00CE0E45">
      <w:pPr>
        <w:pStyle w:val="Rubrik4"/>
      </w:pPr>
      <w:r w:rsidRPr="00CB1772">
        <w:t>Syfte</w:t>
      </w:r>
    </w:p>
    <w:p w14:paraId="10D9EDC7" w14:textId="77777777" w:rsidR="00CE0E45" w:rsidRPr="00CB1772" w:rsidRDefault="00CE0E45" w:rsidP="00CE0E45">
      <w:pPr>
        <w:pStyle w:val="Brdtext"/>
      </w:pPr>
      <w:r w:rsidRPr="00CB1772">
        <w:t>Nyckeltalet visar kostnaden för en kontrolltimme. Det gör det möjligt att jämföra kostnadsnivån mellan miljö</w:t>
      </w:r>
      <w:r w:rsidR="005A1614" w:rsidRPr="00CB1772">
        <w:t>förvaltningar</w:t>
      </w:r>
      <w:r w:rsidR="008E54E2">
        <w:t>na</w:t>
      </w:r>
      <w:r w:rsidRPr="00CB1772">
        <w:t>.</w:t>
      </w:r>
    </w:p>
    <w:p w14:paraId="1383B15B" w14:textId="77777777" w:rsidR="00CE0E45" w:rsidRPr="00CB1772" w:rsidRDefault="00CE0E45" w:rsidP="00CE0E45">
      <w:pPr>
        <w:pStyle w:val="Rubrik4"/>
      </w:pPr>
      <w:r w:rsidRPr="00CB1772">
        <w:t>Definition</w:t>
      </w:r>
    </w:p>
    <w:p w14:paraId="3E379D2A" w14:textId="77777777" w:rsidR="005A1614" w:rsidRPr="00CB1772" w:rsidRDefault="005A1614" w:rsidP="005A1614">
      <w:pPr>
        <w:pStyle w:val="Brdtext"/>
        <w:rPr>
          <w:rStyle w:val="Diskretbetoning"/>
          <w:i w:val="0"/>
          <w:iCs w:val="0"/>
        </w:rPr>
      </w:pPr>
      <w:r w:rsidRPr="00CB1772">
        <w:t>Enhet:</w:t>
      </w:r>
      <w:r w:rsidR="00EC5A51">
        <w:t xml:space="preserve"> Kronor/timma</w:t>
      </w:r>
    </w:p>
    <w:p w14:paraId="76953B6E" w14:textId="77777777" w:rsidR="00CE0E45" w:rsidRPr="002D5D45" w:rsidRDefault="00CE0E45" w:rsidP="00CE0E45">
      <w:pPr>
        <w:pStyle w:val="Nyckeltal"/>
      </w:pPr>
      <w:r w:rsidRPr="00CB1772">
        <w:t>Inspektörer för miljöbalkstillsyn</w:t>
      </w:r>
      <w:r w:rsidRPr="002D5D45">
        <w:t>, årsarbetskrafter</w:t>
      </w:r>
      <w:r w:rsidR="008E0B81" w:rsidRPr="002D5D45">
        <w:t xml:space="preserve"> under året (utfall)</w:t>
      </w:r>
    </w:p>
    <w:p w14:paraId="5615EFBC" w14:textId="77777777" w:rsidR="00CE0E45" w:rsidRPr="002D5D45" w:rsidRDefault="00CE0E45" w:rsidP="00CE0E45">
      <w:pPr>
        <w:pStyle w:val="Rubrik4"/>
      </w:pPr>
      <w:r w:rsidRPr="002D5D45">
        <w:t xml:space="preserve">Syfte </w:t>
      </w:r>
    </w:p>
    <w:p w14:paraId="229AD40B" w14:textId="77777777" w:rsidR="00CE0E45" w:rsidRPr="002D5D45" w:rsidRDefault="00CE0E45" w:rsidP="00CE0E45">
      <w:pPr>
        <w:pStyle w:val="Brdtext"/>
      </w:pPr>
      <w:r w:rsidRPr="002D5D45">
        <w:t>Nyckeltalet gör det möjligt att visa storleken på tillsynsverksamhet</w:t>
      </w:r>
      <w:r w:rsidR="005A1614" w:rsidRPr="002D5D45">
        <w:t>en</w:t>
      </w:r>
      <w:r w:rsidRPr="002D5D45">
        <w:t>. Nyckeltalet ingår som underlag för uträkning av nyckeltal 6, 7</w:t>
      </w:r>
      <w:r w:rsidR="004F2526" w:rsidRPr="002D5D45">
        <w:t>, 10, 11 och 13.</w:t>
      </w:r>
    </w:p>
    <w:p w14:paraId="28C56E2F" w14:textId="77777777" w:rsidR="00CE0E45" w:rsidRPr="002D5D45" w:rsidRDefault="00CE0E45" w:rsidP="00CE0E45">
      <w:pPr>
        <w:pStyle w:val="Rubrik4"/>
      </w:pPr>
      <w:r w:rsidRPr="002D5D45">
        <w:t>Definition</w:t>
      </w:r>
    </w:p>
    <w:p w14:paraId="3920BFCA" w14:textId="77777777" w:rsidR="00AA7192" w:rsidRPr="002D5D45" w:rsidRDefault="00F3099D" w:rsidP="0029478D">
      <w:pPr>
        <w:pStyle w:val="Brdtext"/>
      </w:pPr>
      <w:r w:rsidRPr="002D5D45">
        <w:t xml:space="preserve">Med </w:t>
      </w:r>
      <w:r w:rsidR="008E0B81" w:rsidRPr="002D5D45">
        <w:t xml:space="preserve">årsarbetskrafter för </w:t>
      </w:r>
      <w:r w:rsidRPr="002D5D45">
        <w:t xml:space="preserve">miljöbalkstillsyn </w:t>
      </w:r>
      <w:r w:rsidR="005A1614" w:rsidRPr="002D5D45">
        <w:t xml:space="preserve">avses följande: </w:t>
      </w:r>
      <w:r w:rsidR="00F92A60" w:rsidRPr="002D5D45">
        <w:t>Gå in i behovsutredningens</w:t>
      </w:r>
      <w:r w:rsidR="005A1614" w:rsidRPr="002D5D45">
        <w:t xml:space="preserve"> flik ”Befintlig personal”</w:t>
      </w:r>
      <w:r w:rsidR="00F92A60" w:rsidRPr="002D5D45">
        <w:t>. U</w:t>
      </w:r>
      <w:r w:rsidRPr="002D5D45">
        <w:t xml:space="preserve">nder </w:t>
      </w:r>
      <w:r w:rsidR="009D2351" w:rsidRPr="002D5D45">
        <w:t xml:space="preserve">rubriken </w:t>
      </w:r>
      <w:r w:rsidR="00E82AD9" w:rsidRPr="002D5D45">
        <w:t>”P</w:t>
      </w:r>
      <w:r w:rsidRPr="002D5D45">
        <w:t>rövning, handläggning, tillsyn och kontroll”</w:t>
      </w:r>
      <w:r w:rsidR="000C21A4" w:rsidRPr="002D5D45">
        <w:t xml:space="preserve"> summeras </w:t>
      </w:r>
      <w:r w:rsidR="009942E6" w:rsidRPr="002D5D45">
        <w:t xml:space="preserve">antal tjänster för </w:t>
      </w:r>
      <w:r w:rsidR="000C21A4" w:rsidRPr="002D5D45">
        <w:t xml:space="preserve">alla rader utom </w:t>
      </w:r>
      <w:r w:rsidRPr="002D5D45">
        <w:t>”</w:t>
      </w:r>
      <w:r w:rsidR="00E82AD9" w:rsidRPr="002D5D45">
        <w:t>L</w:t>
      </w:r>
      <w:r w:rsidRPr="002D5D45">
        <w:t>ivsmedels</w:t>
      </w:r>
      <w:r w:rsidR="008E0B81" w:rsidRPr="002D5D45">
        <w:t xml:space="preserve">anläggningar”, </w:t>
      </w:r>
      <w:r w:rsidR="00E82AD9" w:rsidRPr="002D5D45">
        <w:t>”D</w:t>
      </w:r>
      <w:r w:rsidRPr="002D5D45">
        <w:t>ricksvattenanläggningar”</w:t>
      </w:r>
      <w:r w:rsidR="008E0B81" w:rsidRPr="002D5D45">
        <w:t xml:space="preserve"> ”Folköl”, ”Tobak” och ”Läkemedel”</w:t>
      </w:r>
      <w:r w:rsidR="0080263C" w:rsidRPr="002D5D45">
        <w:t xml:space="preserve"> (för de som har den tillsynen)</w:t>
      </w:r>
      <w:r w:rsidRPr="002D5D45">
        <w:t>.</w:t>
      </w:r>
      <w:r w:rsidR="00123245" w:rsidRPr="002D5D45">
        <w:t xml:space="preserve"> </w:t>
      </w:r>
      <w:r w:rsidR="009B7178" w:rsidRPr="002D5D45">
        <w:t>För att få utfallet</w:t>
      </w:r>
      <w:r w:rsidR="008E0B81" w:rsidRPr="002D5D45">
        <w:t xml:space="preserve"> </w:t>
      </w:r>
      <w:r w:rsidR="009942E6" w:rsidRPr="002D5D45">
        <w:t xml:space="preserve">under året </w:t>
      </w:r>
      <w:r w:rsidR="008E0B81" w:rsidRPr="002D5D45">
        <w:t xml:space="preserve">dras </w:t>
      </w:r>
      <w:r w:rsidR="009942E6" w:rsidRPr="002D5D45">
        <w:t>tjänster</w:t>
      </w:r>
      <w:r w:rsidR="00D40ADE" w:rsidRPr="002D5D45">
        <w:t xml:space="preserve"> bort</w:t>
      </w:r>
      <w:r w:rsidR="009B7178" w:rsidRPr="002D5D45">
        <w:t xml:space="preserve"> </w:t>
      </w:r>
      <w:r w:rsidR="008E0B81" w:rsidRPr="002D5D45">
        <w:t xml:space="preserve">för </w:t>
      </w:r>
      <w:r w:rsidR="0080263C" w:rsidRPr="002D5D45">
        <w:t xml:space="preserve">vakanser, </w:t>
      </w:r>
      <w:r w:rsidR="008E0B81" w:rsidRPr="002D5D45">
        <w:t>längre sjukskrivningar</w:t>
      </w:r>
      <w:r w:rsidR="0080263C" w:rsidRPr="002D5D45">
        <w:t xml:space="preserve">, glapp mellan anställningar och </w:t>
      </w:r>
      <w:r w:rsidR="008E0B81" w:rsidRPr="002D5D45">
        <w:t>längre ledigheter som inte ersatts under året.</w:t>
      </w:r>
    </w:p>
    <w:p w14:paraId="386A837F" w14:textId="77777777" w:rsidR="00CB1772" w:rsidRPr="002D5D45" w:rsidRDefault="00EC5A51" w:rsidP="0029478D">
      <w:pPr>
        <w:pStyle w:val="Brdtext"/>
      </w:pPr>
      <w:r w:rsidRPr="002D5D45">
        <w:t>Enhet: Å</w:t>
      </w:r>
      <w:r w:rsidR="00CB1772" w:rsidRPr="002D5D45">
        <w:t>rsarbetskrafter</w:t>
      </w:r>
      <w:r w:rsidR="00123245" w:rsidRPr="002D5D45">
        <w:t>/år</w:t>
      </w:r>
    </w:p>
    <w:p w14:paraId="6943742E" w14:textId="77777777" w:rsidR="00CB1772" w:rsidRPr="002D5D45" w:rsidRDefault="00CB1772" w:rsidP="00F3099D">
      <w:pPr>
        <w:pStyle w:val="Brdtext"/>
      </w:pPr>
    </w:p>
    <w:p w14:paraId="5BCCE8C5" w14:textId="77777777" w:rsidR="008F412C" w:rsidRPr="002D5D45" w:rsidRDefault="008F412C" w:rsidP="008F412C">
      <w:pPr>
        <w:pStyle w:val="Nyckeltal"/>
      </w:pPr>
      <w:r w:rsidRPr="002D5D45">
        <w:t xml:space="preserve">Inspektörer för livsmedelskontroll, </w:t>
      </w:r>
      <w:r w:rsidR="009A5B69" w:rsidRPr="002D5D45">
        <w:t>årsarbetskrafter under året (utfall)</w:t>
      </w:r>
    </w:p>
    <w:p w14:paraId="5F0AA229" w14:textId="77777777" w:rsidR="00CB1772" w:rsidRPr="002D5D45" w:rsidRDefault="00CB1772" w:rsidP="00CB1772">
      <w:pPr>
        <w:pStyle w:val="Rubrik4"/>
      </w:pPr>
      <w:r w:rsidRPr="002D5D45">
        <w:t xml:space="preserve">Syfte </w:t>
      </w:r>
    </w:p>
    <w:p w14:paraId="35FBDB82" w14:textId="77777777" w:rsidR="00CE0E45" w:rsidRPr="002D5D45" w:rsidRDefault="00CE0E45" w:rsidP="00CE0E45">
      <w:pPr>
        <w:pStyle w:val="Brdtext"/>
      </w:pPr>
      <w:r w:rsidRPr="002D5D45">
        <w:t>Nyckeltalet gör det möjligt att visa stor</w:t>
      </w:r>
      <w:r w:rsidR="00DC062D" w:rsidRPr="002D5D45">
        <w:t>leken på miljö</w:t>
      </w:r>
      <w:r w:rsidR="00AA7192" w:rsidRPr="002D5D45">
        <w:t>förvaltningens</w:t>
      </w:r>
      <w:r w:rsidR="00DC062D" w:rsidRPr="002D5D45">
        <w:t xml:space="preserve"> kontroll</w:t>
      </w:r>
      <w:r w:rsidRPr="002D5D45">
        <w:t xml:space="preserve">verksamhet. Nyckeltalet ingår som underlag för uträkning av nyckeltal </w:t>
      </w:r>
      <w:r w:rsidR="004F2526" w:rsidRPr="002D5D45">
        <w:t>6, 7, 10, 11 och 13.</w:t>
      </w:r>
    </w:p>
    <w:p w14:paraId="1A20D130" w14:textId="77777777" w:rsidR="00CB1772" w:rsidRPr="002D5D45" w:rsidRDefault="00CB1772" w:rsidP="000C21A4">
      <w:pPr>
        <w:pStyle w:val="Rubrik4"/>
      </w:pPr>
      <w:r w:rsidRPr="002D5D45">
        <w:t>Definition</w:t>
      </w:r>
    </w:p>
    <w:p w14:paraId="7805D26F" w14:textId="77777777" w:rsidR="009A5B69" w:rsidRPr="002D5D45" w:rsidRDefault="000C21A4" w:rsidP="009A5B69">
      <w:pPr>
        <w:pStyle w:val="Brdtext"/>
      </w:pPr>
      <w:r w:rsidRPr="002D5D45">
        <w:t>Med</w:t>
      </w:r>
      <w:r w:rsidR="009A5B69" w:rsidRPr="002D5D45">
        <w:t xml:space="preserve"> årsarbetskrafter för</w:t>
      </w:r>
      <w:r w:rsidRPr="002D5D45">
        <w:t xml:space="preserve"> livsmedelskontroll avses följande: Gå in i behovsutredningens flik ”Befintlig personal”. Under rubriken ”Prövning, handläggning, tillsyn och kontroll” summeras</w:t>
      </w:r>
      <w:r w:rsidR="009942E6" w:rsidRPr="002D5D45">
        <w:t xml:space="preserve"> antal tjänster för</w:t>
      </w:r>
      <w:r w:rsidRPr="002D5D45">
        <w:t xml:space="preserve"> raderna ”Livsmedelsanläggningar” och ”Dricksvattenanläggningar”</w:t>
      </w:r>
      <w:r w:rsidR="009A5B69" w:rsidRPr="002D5D45">
        <w:t>.</w:t>
      </w:r>
      <w:r w:rsidR="00123245" w:rsidRPr="002D5D45">
        <w:t xml:space="preserve"> </w:t>
      </w:r>
      <w:r w:rsidR="009A5B69" w:rsidRPr="002D5D45">
        <w:t xml:space="preserve">För att få utfallet </w:t>
      </w:r>
      <w:r w:rsidR="009942E6" w:rsidRPr="002D5D45">
        <w:t xml:space="preserve">under året </w:t>
      </w:r>
      <w:r w:rsidR="009A5B69" w:rsidRPr="002D5D45">
        <w:t xml:space="preserve">dras </w:t>
      </w:r>
      <w:r w:rsidR="009942E6" w:rsidRPr="002D5D45">
        <w:t>tjänster</w:t>
      </w:r>
      <w:r w:rsidR="009A5B69" w:rsidRPr="002D5D45">
        <w:t xml:space="preserve"> bort för</w:t>
      </w:r>
      <w:r w:rsidR="00D25C87" w:rsidRPr="002D5D45">
        <w:t xml:space="preserve"> vakanser</w:t>
      </w:r>
      <w:r w:rsidR="0058057C" w:rsidRPr="002D5D45">
        <w:t>,</w:t>
      </w:r>
      <w:r w:rsidR="009A5B69" w:rsidRPr="002D5D45">
        <w:t xml:space="preserve"> längre sjukskrivningar, glapp mellan anställningar</w:t>
      </w:r>
      <w:r w:rsidR="0058057C" w:rsidRPr="002D5D45">
        <w:t xml:space="preserve"> och</w:t>
      </w:r>
      <w:r w:rsidR="009A5B69" w:rsidRPr="002D5D45">
        <w:t xml:space="preserve"> längre ledigheter som inte ersatts under året.</w:t>
      </w:r>
    </w:p>
    <w:p w14:paraId="1266EEC7" w14:textId="77777777" w:rsidR="0029478D" w:rsidRPr="002D5D45" w:rsidRDefault="0029478D" w:rsidP="00123245">
      <w:pPr>
        <w:pStyle w:val="Brdtext"/>
      </w:pPr>
    </w:p>
    <w:p w14:paraId="11E304EA" w14:textId="77777777" w:rsidR="000C21A4" w:rsidRPr="002D5D45" w:rsidRDefault="00EC5A51" w:rsidP="00A7675B">
      <w:pPr>
        <w:pStyle w:val="Brdtext"/>
      </w:pPr>
      <w:r w:rsidRPr="002D5D45">
        <w:t>Enhet: Å</w:t>
      </w:r>
      <w:r w:rsidR="000C21A4" w:rsidRPr="002D5D45">
        <w:t>rsarbetskrafter</w:t>
      </w:r>
      <w:r w:rsidR="00123245" w:rsidRPr="002D5D45">
        <w:t>/år</w:t>
      </w:r>
    </w:p>
    <w:p w14:paraId="4D403676" w14:textId="77777777" w:rsidR="00CE0E45" w:rsidRPr="002D5D45" w:rsidRDefault="00CE0E45" w:rsidP="00CE0E45">
      <w:pPr>
        <w:pStyle w:val="Nyckeltal"/>
      </w:pPr>
      <w:r w:rsidRPr="002D5D45">
        <w:t>Månadslön för tillsyns</w:t>
      </w:r>
      <w:r w:rsidR="005C0430" w:rsidRPr="002D5D45">
        <w:t>- och kontroll</w:t>
      </w:r>
      <w:r w:rsidRPr="002D5D45">
        <w:t>personal</w:t>
      </w:r>
    </w:p>
    <w:p w14:paraId="33762236" w14:textId="77777777" w:rsidR="00CE0E45" w:rsidRPr="002D5D45" w:rsidRDefault="00CE0E45" w:rsidP="00CE0E45">
      <w:pPr>
        <w:pStyle w:val="Rubrik4"/>
      </w:pPr>
      <w:r w:rsidRPr="002D5D45">
        <w:t xml:space="preserve">Syfte </w:t>
      </w:r>
    </w:p>
    <w:p w14:paraId="560B472F" w14:textId="77777777" w:rsidR="00CE0E45" w:rsidRPr="002D5D45" w:rsidRDefault="00CE0E45" w:rsidP="00CE0E45">
      <w:pPr>
        <w:pStyle w:val="Brdtext"/>
      </w:pPr>
      <w:r w:rsidRPr="002D5D45">
        <w:t xml:space="preserve">Nyckeltalet gör det möjligt att jämföra lönenivå mellan </w:t>
      </w:r>
      <w:r w:rsidR="005C0430" w:rsidRPr="002D5D45">
        <w:t>alla inspektörer</w:t>
      </w:r>
      <w:r w:rsidR="008E54E2" w:rsidRPr="002D5D45">
        <w:t xml:space="preserve"> på </w:t>
      </w:r>
      <w:r w:rsidRPr="002D5D45">
        <w:t>miljö</w:t>
      </w:r>
      <w:r w:rsidR="00122A41" w:rsidRPr="002D5D45">
        <w:t>förvaltningarna</w:t>
      </w:r>
      <w:r w:rsidRPr="002D5D45">
        <w:t>.</w:t>
      </w:r>
    </w:p>
    <w:p w14:paraId="09B6C08D" w14:textId="77777777" w:rsidR="00CE0E45" w:rsidRPr="002D5D45" w:rsidRDefault="00CE0E45" w:rsidP="00CE0E45">
      <w:pPr>
        <w:pStyle w:val="Rubrik4"/>
      </w:pPr>
      <w:r w:rsidRPr="002D5D45">
        <w:t>Definition</w:t>
      </w:r>
    </w:p>
    <w:p w14:paraId="430598F8" w14:textId="77777777" w:rsidR="00CE0E45" w:rsidRPr="002D5D45" w:rsidRDefault="00CE0E45" w:rsidP="00122A41">
      <w:pPr>
        <w:pStyle w:val="Brdtext"/>
      </w:pPr>
      <w:r w:rsidRPr="002D5D45">
        <w:t>Ange medianlön för anställd tillsyns</w:t>
      </w:r>
      <w:r w:rsidR="00B10DB1" w:rsidRPr="002D5D45">
        <w:t>- och kontroll</w:t>
      </w:r>
      <w:r w:rsidRPr="002D5D45">
        <w:t xml:space="preserve">personal </w:t>
      </w:r>
      <w:r w:rsidR="00122A41" w:rsidRPr="002D5D45">
        <w:t xml:space="preserve">(inspektörer) </w:t>
      </w:r>
      <w:r w:rsidR="00707B8A" w:rsidRPr="002D5D45">
        <w:t xml:space="preserve">den 31 december. </w:t>
      </w:r>
      <w:r w:rsidRPr="002D5D45">
        <w:t>Föräldralediga, sjukskrivna och vikarie</w:t>
      </w:r>
      <w:r w:rsidR="006328D5" w:rsidRPr="002D5D45">
        <w:t>r</w:t>
      </w:r>
      <w:r w:rsidRPr="002D5D45">
        <w:t xml:space="preserve"> inkluderas i beräkningen.</w:t>
      </w:r>
      <w:r w:rsidR="00122A41" w:rsidRPr="002D5D45">
        <w:t xml:space="preserve"> </w:t>
      </w:r>
      <w:r w:rsidRPr="002D5D45">
        <w:t>Chefer och samordnare ingår inte.</w:t>
      </w:r>
      <w:r w:rsidR="00EC27BE" w:rsidRPr="002D5D45">
        <w:t xml:space="preserve"> </w:t>
      </w:r>
    </w:p>
    <w:p w14:paraId="48CA4154" w14:textId="77777777" w:rsidR="00CE0E45" w:rsidRPr="002D5D45" w:rsidRDefault="00CE0E45" w:rsidP="00CE0E45">
      <w:pPr>
        <w:pStyle w:val="Brdtext"/>
      </w:pPr>
      <w:r w:rsidRPr="002D5D45">
        <w:t>Enhet:</w:t>
      </w:r>
      <w:r w:rsidR="00EC5A51" w:rsidRPr="002D5D45">
        <w:t xml:space="preserve"> Kronor/månad</w:t>
      </w:r>
    </w:p>
    <w:p w14:paraId="12390830" w14:textId="77777777" w:rsidR="00CE0E45" w:rsidRPr="002D5D45" w:rsidRDefault="009F685C" w:rsidP="00CE0E45">
      <w:pPr>
        <w:pStyle w:val="Nyckeltal"/>
      </w:pPr>
      <w:r w:rsidRPr="002D5D45">
        <w:t xml:space="preserve">Intäkt för miljöbalkstillsyn </w:t>
      </w:r>
      <w:r w:rsidR="00CE0E45" w:rsidRPr="002D5D45">
        <w:t>per årsarbetskraft</w:t>
      </w:r>
      <w:r w:rsidR="0080263C" w:rsidRPr="002D5D45">
        <w:t xml:space="preserve"> </w:t>
      </w:r>
      <w:r w:rsidR="00AF48EA" w:rsidRPr="002D5D45">
        <w:t>(utfall)</w:t>
      </w:r>
    </w:p>
    <w:p w14:paraId="30FBD6A8" w14:textId="77777777" w:rsidR="00CE0E45" w:rsidRPr="002D5D45" w:rsidRDefault="00CE0E45" w:rsidP="00CE0E45">
      <w:pPr>
        <w:pStyle w:val="Rubrik4"/>
      </w:pPr>
      <w:r w:rsidRPr="002D5D45">
        <w:t xml:space="preserve">Syfte </w:t>
      </w:r>
    </w:p>
    <w:p w14:paraId="4866ADDE" w14:textId="77777777" w:rsidR="00CE0E45" w:rsidRPr="002D5D45" w:rsidRDefault="00CE0E45" w:rsidP="00CE0E45">
      <w:pPr>
        <w:pStyle w:val="Brdtext"/>
      </w:pPr>
      <w:r w:rsidRPr="002D5D45">
        <w:t xml:space="preserve">Nyckeltalet gör det möjligt att jämföra utveckling av </w:t>
      </w:r>
      <w:r w:rsidR="00D64D04" w:rsidRPr="002D5D45">
        <w:t>intäkterna för tillsyn</w:t>
      </w:r>
      <w:r w:rsidRPr="002D5D45">
        <w:t xml:space="preserve"> över tid och är </w:t>
      </w:r>
      <w:r w:rsidR="00F92A60" w:rsidRPr="002D5D45">
        <w:t xml:space="preserve">ett </w:t>
      </w:r>
      <w:r w:rsidRPr="002D5D45">
        <w:t xml:space="preserve">underlag för verksamhetsutveckling. </w:t>
      </w:r>
      <w:r w:rsidR="00F92A60" w:rsidRPr="002D5D45">
        <w:t>Det ska även</w:t>
      </w:r>
      <w:r w:rsidRPr="002D5D45">
        <w:t xml:space="preserve"> vara en källa till inspiration i jämförelse mellan miljö</w:t>
      </w:r>
      <w:r w:rsidR="00F92A60" w:rsidRPr="002D5D45">
        <w:t>förvaltningar</w:t>
      </w:r>
      <w:r w:rsidRPr="002D5D45">
        <w:t>.</w:t>
      </w:r>
    </w:p>
    <w:p w14:paraId="2628F863" w14:textId="77777777" w:rsidR="00CE0E45" w:rsidRPr="002D5D45" w:rsidRDefault="00CE0E45" w:rsidP="00CE0E45">
      <w:pPr>
        <w:pStyle w:val="Rubrik4"/>
      </w:pPr>
      <w:r w:rsidRPr="002D5D45">
        <w:t>Definition</w:t>
      </w:r>
    </w:p>
    <w:p w14:paraId="0CCDC689" w14:textId="77777777" w:rsidR="0029478D" w:rsidRPr="002D5D45" w:rsidRDefault="00CE0E45" w:rsidP="0029478D">
      <w:pPr>
        <w:pStyle w:val="Brdtext"/>
      </w:pPr>
      <w:r w:rsidRPr="002D5D45">
        <w:t xml:space="preserve">Total summa </w:t>
      </w:r>
      <w:r w:rsidR="004C5C27" w:rsidRPr="002D5D45">
        <w:t xml:space="preserve">fakturerade </w:t>
      </w:r>
      <w:r w:rsidRPr="002D5D45">
        <w:t>tillsynsintäkter för miljöbalkstill</w:t>
      </w:r>
      <w:r w:rsidR="00F92A60" w:rsidRPr="002D5D45">
        <w:t>syn per årsarbetskraft</w:t>
      </w:r>
      <w:r w:rsidR="005C0430" w:rsidRPr="002D5D45">
        <w:t xml:space="preserve"> under föregående år</w:t>
      </w:r>
      <w:r w:rsidR="00F92A60" w:rsidRPr="002D5D45">
        <w:t>.</w:t>
      </w:r>
      <w:r w:rsidR="00EC5A51" w:rsidRPr="002D5D45">
        <w:t xml:space="preserve"> </w:t>
      </w:r>
      <w:r w:rsidRPr="002D5D45">
        <w:t xml:space="preserve">För definition av </w:t>
      </w:r>
      <w:r w:rsidR="00AF48EA" w:rsidRPr="002D5D45">
        <w:t xml:space="preserve">miljöbalkstillsyn </w:t>
      </w:r>
      <w:r w:rsidR="00B10DB1" w:rsidRPr="002D5D45">
        <w:t>respektive</w:t>
      </w:r>
      <w:r w:rsidR="004C5C27" w:rsidRPr="002D5D45">
        <w:t xml:space="preserve"> </w:t>
      </w:r>
      <w:r w:rsidR="00AF48EA" w:rsidRPr="002D5D45">
        <w:t xml:space="preserve">årsarbetskraft se </w:t>
      </w:r>
      <w:r w:rsidR="004C5C27" w:rsidRPr="002D5D45">
        <w:t>nyckeltal 3.</w:t>
      </w:r>
    </w:p>
    <w:p w14:paraId="4D461DB5" w14:textId="77777777" w:rsidR="00F3099D" w:rsidRPr="002D5D45" w:rsidRDefault="00CE0E45" w:rsidP="00A7675B">
      <w:pPr>
        <w:pStyle w:val="Brdtext"/>
      </w:pPr>
      <w:r w:rsidRPr="002D5D45">
        <w:t>Enhet:</w:t>
      </w:r>
      <w:r w:rsidR="00EC5A51" w:rsidRPr="002D5D45">
        <w:t xml:space="preserve"> K</w:t>
      </w:r>
      <w:r w:rsidRPr="002D5D45">
        <w:t>ronor</w:t>
      </w:r>
      <w:r w:rsidR="006F1170" w:rsidRPr="002D5D45">
        <w:t>/årsarbetskraft</w:t>
      </w:r>
      <w:r w:rsidR="00A7675B" w:rsidRPr="002D5D45">
        <w:br/>
      </w:r>
    </w:p>
    <w:p w14:paraId="15EE7B7A" w14:textId="77777777" w:rsidR="00CE0E45" w:rsidRPr="002D5D45" w:rsidRDefault="009F685C" w:rsidP="00CE0E45">
      <w:pPr>
        <w:pStyle w:val="Nyckeltal"/>
      </w:pPr>
      <w:r w:rsidRPr="002D5D45">
        <w:t xml:space="preserve">Intäkt för livsmedelskontroll </w:t>
      </w:r>
      <w:r w:rsidR="00CE0E45" w:rsidRPr="002D5D45">
        <w:t>per årsarbetskraft</w:t>
      </w:r>
      <w:r w:rsidR="00AF48EA" w:rsidRPr="002D5D45">
        <w:t xml:space="preserve"> (utfall)</w:t>
      </w:r>
    </w:p>
    <w:p w14:paraId="7903BF2C" w14:textId="77777777" w:rsidR="00CE0E45" w:rsidRPr="002D5D45" w:rsidRDefault="00CE0E45" w:rsidP="00CE0E45">
      <w:pPr>
        <w:pStyle w:val="Rubrik4"/>
      </w:pPr>
      <w:r w:rsidRPr="002D5D45">
        <w:t>Syfte</w:t>
      </w:r>
    </w:p>
    <w:p w14:paraId="1FCA029B" w14:textId="77777777" w:rsidR="00EC5A51" w:rsidRPr="002D5D45" w:rsidRDefault="00EC5A51" w:rsidP="00EC5A51">
      <w:pPr>
        <w:pStyle w:val="Brdtext"/>
      </w:pPr>
      <w:r w:rsidRPr="002D5D45">
        <w:t>Nyckeltalet gör det möjligt att jämföra utveckling av intäkterna för kontroll över tid och är ett underlag för verksamhetsutveckling. Det ska även vara en källa till inspiration i jämförelse mellan miljöförvaltningar.</w:t>
      </w:r>
    </w:p>
    <w:p w14:paraId="23D2C575" w14:textId="77777777" w:rsidR="00CE0E45" w:rsidRPr="002D5D45" w:rsidRDefault="00CE0E45" w:rsidP="00CE0E45">
      <w:pPr>
        <w:pStyle w:val="Rubrik4"/>
      </w:pPr>
      <w:r w:rsidRPr="002D5D45">
        <w:t>Definition</w:t>
      </w:r>
    </w:p>
    <w:p w14:paraId="67EDE87A" w14:textId="77777777" w:rsidR="00CE0E45" w:rsidRPr="002D5D45" w:rsidRDefault="00CE0E45" w:rsidP="00EC5A51">
      <w:pPr>
        <w:pStyle w:val="Brdtext"/>
      </w:pPr>
      <w:r w:rsidRPr="002D5D45">
        <w:t xml:space="preserve">Total summa </w:t>
      </w:r>
      <w:r w:rsidR="004C5C27" w:rsidRPr="002D5D45">
        <w:t xml:space="preserve">fakturerade </w:t>
      </w:r>
      <w:r w:rsidR="00EC5A51" w:rsidRPr="002D5D45">
        <w:t>kontroll</w:t>
      </w:r>
      <w:r w:rsidRPr="002D5D45">
        <w:t>intäkter för livsmedelskontroll, planerad och oplanerad, per årsarbetskraft</w:t>
      </w:r>
      <w:r w:rsidR="005C0430" w:rsidRPr="002D5D45">
        <w:t xml:space="preserve"> under föregående år</w:t>
      </w:r>
      <w:r w:rsidRPr="002D5D45">
        <w:t>.</w:t>
      </w:r>
      <w:r w:rsidR="00EC5A51" w:rsidRPr="002D5D45">
        <w:t xml:space="preserve"> </w:t>
      </w:r>
      <w:r w:rsidRPr="002D5D45">
        <w:t xml:space="preserve">För definition av </w:t>
      </w:r>
      <w:r w:rsidR="004C5C27" w:rsidRPr="002D5D45">
        <w:t xml:space="preserve">livsmedelskontroll </w:t>
      </w:r>
      <w:r w:rsidR="00A731F9" w:rsidRPr="002D5D45">
        <w:t xml:space="preserve">respektive årsarbetskraft </w:t>
      </w:r>
      <w:r w:rsidR="004C5C27" w:rsidRPr="002D5D45">
        <w:t>se nyckeltal 4.</w:t>
      </w:r>
    </w:p>
    <w:p w14:paraId="2CFC7B65" w14:textId="77777777" w:rsidR="00CE0E45" w:rsidRPr="002D5D45" w:rsidRDefault="00CE0E45" w:rsidP="00CE0E45">
      <w:pPr>
        <w:pStyle w:val="Brdtext"/>
      </w:pPr>
      <w:r w:rsidRPr="002D5D45">
        <w:t>Enhet:</w:t>
      </w:r>
      <w:r w:rsidR="008E54E2" w:rsidRPr="002D5D45">
        <w:t xml:space="preserve"> Kronor/å</w:t>
      </w:r>
      <w:r w:rsidR="00EC5A51" w:rsidRPr="002D5D45">
        <w:t>rsarbetskraft</w:t>
      </w:r>
    </w:p>
    <w:p w14:paraId="6D169AD2" w14:textId="77777777" w:rsidR="00CE0E45" w:rsidRPr="002D5D45" w:rsidRDefault="00CE0E45" w:rsidP="00CE0E45">
      <w:pPr>
        <w:pStyle w:val="Nyckeltal"/>
      </w:pPr>
      <w:r w:rsidRPr="002D5D45">
        <w:lastRenderedPageBreak/>
        <w:t xml:space="preserve">Självfinansieringsgrad </w:t>
      </w:r>
      <w:r w:rsidR="009F685C" w:rsidRPr="002D5D45">
        <w:t xml:space="preserve">för </w:t>
      </w:r>
      <w:r w:rsidRPr="002D5D45">
        <w:t>miljöbalkstillsyn</w:t>
      </w:r>
    </w:p>
    <w:p w14:paraId="173E4EEC" w14:textId="77777777" w:rsidR="00CE0E45" w:rsidRPr="002D5D45" w:rsidRDefault="00CE0E45" w:rsidP="00CE0E45">
      <w:pPr>
        <w:pStyle w:val="Rubrik4"/>
      </w:pPr>
      <w:r w:rsidRPr="002D5D45">
        <w:t>Syfte</w:t>
      </w:r>
    </w:p>
    <w:p w14:paraId="4C66651D" w14:textId="77777777" w:rsidR="00CE0E45" w:rsidRPr="002D5D45" w:rsidRDefault="00CE0E45" w:rsidP="0029478D">
      <w:pPr>
        <w:pStyle w:val="Brdtext"/>
      </w:pPr>
      <w:r w:rsidRPr="002D5D45">
        <w:t xml:space="preserve">Nyckeltalet visar hur stor andel av miljöbalkstillsynen som är intäktsfinansierad samt är </w:t>
      </w:r>
      <w:r w:rsidR="00EC5A51" w:rsidRPr="002D5D45">
        <w:t xml:space="preserve">ett </w:t>
      </w:r>
      <w:r w:rsidRPr="002D5D45">
        <w:t>underlag för verksamhetsutveckling.</w:t>
      </w:r>
      <w:r w:rsidR="0029478D" w:rsidRPr="002D5D45">
        <w:t xml:space="preserve"> </w:t>
      </w:r>
      <w:r w:rsidRPr="002D5D45">
        <w:t xml:space="preserve">Självfinansieringsgraden påverkas av många olika faktorer såsom omorganisation av verksamheten, personalens sjukfrånvaro, ändrade definitioner av nyckeltalet samt nivån på timtaxa. </w:t>
      </w:r>
      <w:r w:rsidRPr="002D5D45">
        <w:rPr>
          <w:i/>
        </w:rPr>
        <w:t xml:space="preserve">Undvik därför jämförelse mellan </w:t>
      </w:r>
      <w:r w:rsidR="00AA7192" w:rsidRPr="002D5D45">
        <w:rPr>
          <w:i/>
        </w:rPr>
        <w:t>miljöförvaltningar</w:t>
      </w:r>
      <w:r w:rsidRPr="002D5D45">
        <w:rPr>
          <w:i/>
        </w:rPr>
        <w:t>.</w:t>
      </w:r>
    </w:p>
    <w:p w14:paraId="0F41D7EA" w14:textId="77777777" w:rsidR="00CE0E45" w:rsidRPr="002D5D45" w:rsidRDefault="00CE0E45" w:rsidP="00CE0E45">
      <w:pPr>
        <w:pStyle w:val="Rubrik4"/>
      </w:pPr>
      <w:r w:rsidRPr="002D5D45">
        <w:t>Definition</w:t>
      </w:r>
    </w:p>
    <w:p w14:paraId="6C04DF55" w14:textId="77777777" w:rsidR="00CE0E45" w:rsidRPr="002D5D45" w:rsidRDefault="00CE0E45" w:rsidP="00CE0E45">
      <w:pPr>
        <w:pStyle w:val="Brdtext"/>
      </w:pPr>
      <w:r w:rsidRPr="002D5D45">
        <w:t>Självfinansieringsg</w:t>
      </w:r>
      <w:r w:rsidR="0029478D" w:rsidRPr="002D5D45">
        <w:t>rad = tillsynsintäkter/</w:t>
      </w:r>
      <w:r w:rsidRPr="002D5D45">
        <w:t>bruttokostnader.</w:t>
      </w:r>
    </w:p>
    <w:p w14:paraId="11F8A9FB" w14:textId="77777777" w:rsidR="00CE0E45" w:rsidRPr="002D5D45" w:rsidRDefault="00CE0E45" w:rsidP="00CE0E45">
      <w:pPr>
        <w:pStyle w:val="Brdtext"/>
      </w:pPr>
      <w:r w:rsidRPr="002D5D45">
        <w:t>Bruttokostnader är kostnader för alla årsarbetskrafter inom området, inklusive OH- kostnader.</w:t>
      </w:r>
    </w:p>
    <w:p w14:paraId="0B9DBD75" w14:textId="77777777" w:rsidR="00CE0E45" w:rsidRPr="002D5D45" w:rsidRDefault="00CE0E45" w:rsidP="00CE0E45">
      <w:pPr>
        <w:pStyle w:val="Brdtext"/>
      </w:pPr>
      <w:r w:rsidRPr="002D5D45">
        <w:t>Kostnader för t.ex. nämndsekreterare, assistenter, informatörer, samordnare och chefer</w:t>
      </w:r>
      <w:r w:rsidR="00CE6FA1" w:rsidRPr="002D5D45">
        <w:t xml:space="preserve">, IT, </w:t>
      </w:r>
      <w:r w:rsidRPr="002D5D45">
        <w:t xml:space="preserve">lokaler </w:t>
      </w:r>
      <w:r w:rsidR="00CE6FA1" w:rsidRPr="002D5D45">
        <w:t>och nämnd ingår (miljöt</w:t>
      </w:r>
      <w:r w:rsidR="00EC5A51" w:rsidRPr="002D5D45">
        <w:t>illsynens andel).</w:t>
      </w:r>
    </w:p>
    <w:p w14:paraId="3D79D89E" w14:textId="77777777" w:rsidR="0029478D" w:rsidRPr="002D5D45" w:rsidRDefault="0029478D" w:rsidP="0029478D">
      <w:pPr>
        <w:pStyle w:val="Brdtext"/>
      </w:pPr>
      <w:r w:rsidRPr="002D5D45">
        <w:t>Med intäkter av miljöbalkstillsyn avses intäkter från följande arbete: Gå in i behovsutre</w:t>
      </w:r>
      <w:r w:rsidR="00D25C87" w:rsidRPr="002D5D45">
        <w:t>dningens flik ”Kärnverksamhet”. Under rubriken ”Prövning, handläggning, tillsyn och kontroll” summeras alla rader utom ”Livsmedelsanläggningar”, ”Dricksvattenanläggningar” ”Folköl”, ”Tobak” och ”Läkemedel” (för de som har den tillsynen).</w:t>
      </w:r>
    </w:p>
    <w:p w14:paraId="0677F833" w14:textId="77777777" w:rsidR="00275AD1" w:rsidRPr="002D5D45" w:rsidRDefault="00E82AD9" w:rsidP="0029478D">
      <w:pPr>
        <w:pStyle w:val="Brdtext"/>
        <w:ind w:left="0" w:firstLine="567"/>
      </w:pPr>
      <w:r w:rsidRPr="002D5D45">
        <w:t xml:space="preserve">Mall för uträkning </w:t>
      </w:r>
      <w:r w:rsidR="00AF48EA" w:rsidRPr="002D5D45">
        <w:t xml:space="preserve">finns som </w:t>
      </w:r>
      <w:r w:rsidRPr="002D5D45">
        <w:t>bilaga</w:t>
      </w:r>
      <w:r w:rsidR="00AF48EA" w:rsidRPr="002D5D45">
        <w:t xml:space="preserve"> i </w:t>
      </w:r>
      <w:proofErr w:type="spellStart"/>
      <w:r w:rsidR="00AF48EA" w:rsidRPr="002D5D45">
        <w:t>Ping</w:t>
      </w:r>
      <w:proofErr w:type="spellEnd"/>
      <w:r w:rsidR="00AF48EA" w:rsidRPr="002D5D45">
        <w:t xml:space="preserve"> </w:t>
      </w:r>
      <w:proofErr w:type="spellStart"/>
      <w:r w:rsidR="00AF48EA" w:rsidRPr="002D5D45">
        <w:t>Pong</w:t>
      </w:r>
      <w:proofErr w:type="spellEnd"/>
      <w:r w:rsidR="00275AD1" w:rsidRPr="002D5D45">
        <w:t>.</w:t>
      </w:r>
    </w:p>
    <w:p w14:paraId="437964FD" w14:textId="77777777" w:rsidR="005D0A5B" w:rsidRPr="002D5D45" w:rsidRDefault="005D0A5B" w:rsidP="005D0A5B">
      <w:pPr>
        <w:pStyle w:val="Brdtext"/>
      </w:pPr>
      <w:r w:rsidRPr="002D5D45">
        <w:t>Enhet: Procent</w:t>
      </w:r>
    </w:p>
    <w:p w14:paraId="23241B0C" w14:textId="77777777" w:rsidR="005D0A5B" w:rsidRPr="002D5D45" w:rsidRDefault="005D0A5B" w:rsidP="005D0A5B">
      <w:pPr>
        <w:pStyle w:val="Brdtext"/>
      </w:pPr>
    </w:p>
    <w:p w14:paraId="3B2E6CBB" w14:textId="77777777" w:rsidR="00CE0E45" w:rsidRPr="002D5D45" w:rsidRDefault="00CE0E45" w:rsidP="00CE0E45">
      <w:pPr>
        <w:pStyle w:val="Nyckeltal"/>
      </w:pPr>
      <w:r w:rsidRPr="002D5D45">
        <w:t xml:space="preserve">Självfinansieringsgrad </w:t>
      </w:r>
      <w:r w:rsidR="009F685C" w:rsidRPr="002D5D45">
        <w:t xml:space="preserve">för </w:t>
      </w:r>
      <w:r w:rsidRPr="002D5D45">
        <w:t>livsmedelskontroll</w:t>
      </w:r>
    </w:p>
    <w:p w14:paraId="7F0E25CF" w14:textId="77777777" w:rsidR="008553CC" w:rsidRPr="002D5D45" w:rsidRDefault="008553CC" w:rsidP="008553CC">
      <w:pPr>
        <w:pStyle w:val="Rubrik4"/>
      </w:pPr>
      <w:r w:rsidRPr="002D5D45">
        <w:t>Syfte</w:t>
      </w:r>
    </w:p>
    <w:p w14:paraId="5CCD7B45" w14:textId="77777777" w:rsidR="00CE0E45" w:rsidRPr="002D5D45" w:rsidRDefault="00CE0E45" w:rsidP="0029478D">
      <w:pPr>
        <w:pStyle w:val="Brdtext"/>
      </w:pPr>
      <w:r w:rsidRPr="002D5D45">
        <w:t xml:space="preserve">Nyckeltalet visar hur stor andel av livsmedelskontrollen som är intäktsfinansierad samt är </w:t>
      </w:r>
      <w:r w:rsidR="0029478D" w:rsidRPr="002D5D45">
        <w:t xml:space="preserve">ett </w:t>
      </w:r>
      <w:r w:rsidRPr="002D5D45">
        <w:t>underlag för verksamhetsutveckling.</w:t>
      </w:r>
      <w:r w:rsidR="0029478D" w:rsidRPr="002D5D45">
        <w:t xml:space="preserve"> </w:t>
      </w:r>
      <w:r w:rsidRPr="002D5D45">
        <w:t xml:space="preserve">Självfinansieringsgraden påverkas av många olika faktorer såsom omorganisation av verksamheten, personalens sjukfrånvaro, ändrade definitioner av nyckeltalet samt nivån på timtaxa. </w:t>
      </w:r>
      <w:r w:rsidRPr="002D5D45">
        <w:rPr>
          <w:i/>
        </w:rPr>
        <w:t xml:space="preserve">Undvik därför jämförelse mellan </w:t>
      </w:r>
      <w:r w:rsidR="00AA7192" w:rsidRPr="002D5D45">
        <w:rPr>
          <w:i/>
        </w:rPr>
        <w:t>miljöförvaltningar</w:t>
      </w:r>
      <w:r w:rsidRPr="002D5D45">
        <w:rPr>
          <w:i/>
        </w:rPr>
        <w:t>.</w:t>
      </w:r>
    </w:p>
    <w:p w14:paraId="51FEF6AF" w14:textId="77777777" w:rsidR="00CE0E45" w:rsidRPr="002D5D45" w:rsidRDefault="00CE0E45" w:rsidP="00CE0E45">
      <w:pPr>
        <w:pStyle w:val="Rubrik4"/>
      </w:pPr>
      <w:r w:rsidRPr="002D5D45">
        <w:t>Definition</w:t>
      </w:r>
    </w:p>
    <w:p w14:paraId="3D4A71A3" w14:textId="77777777" w:rsidR="00CE0E45" w:rsidRPr="002D5D45" w:rsidRDefault="00CE0E45" w:rsidP="00CE0E45">
      <w:pPr>
        <w:pStyle w:val="Brdtext"/>
      </w:pPr>
      <w:r w:rsidRPr="002D5D45">
        <w:t>Självfinans</w:t>
      </w:r>
      <w:r w:rsidR="008553CC" w:rsidRPr="002D5D45">
        <w:t>ieringsgrad = tillsynsintäkter/</w:t>
      </w:r>
      <w:r w:rsidRPr="002D5D45">
        <w:t xml:space="preserve">bruttokostnader. </w:t>
      </w:r>
    </w:p>
    <w:p w14:paraId="6BF660CA" w14:textId="77777777" w:rsidR="00CE0E45" w:rsidRPr="002D5D45" w:rsidRDefault="00CE0E45" w:rsidP="00CE0E45">
      <w:pPr>
        <w:pStyle w:val="Brdtext"/>
      </w:pPr>
      <w:r w:rsidRPr="002D5D45">
        <w:t>Bruttokostnader är kostnader för alla årsarbetskrafter inom området, inklusive OH- kostnader.</w:t>
      </w:r>
    </w:p>
    <w:p w14:paraId="65EC18C5" w14:textId="77777777" w:rsidR="00CE0E45" w:rsidRPr="002D5D45" w:rsidRDefault="00CE0E45" w:rsidP="00CE0E45">
      <w:pPr>
        <w:pStyle w:val="Brdtext"/>
      </w:pPr>
      <w:r w:rsidRPr="002D5D45">
        <w:t>Kostnader för t.ex. nämndsekreterare, assistenter, informatörer, samordnare och chefer</w:t>
      </w:r>
      <w:r w:rsidR="00CE6FA1" w:rsidRPr="002D5D45">
        <w:t xml:space="preserve">, IT, </w:t>
      </w:r>
      <w:r w:rsidRPr="002D5D45">
        <w:t xml:space="preserve">lokaler </w:t>
      </w:r>
      <w:r w:rsidR="00CE6FA1" w:rsidRPr="002D5D45">
        <w:t xml:space="preserve">och nämnd ingår </w:t>
      </w:r>
      <w:r w:rsidRPr="002D5D45">
        <w:t xml:space="preserve">(livsmedelskontrollens andel). </w:t>
      </w:r>
    </w:p>
    <w:p w14:paraId="2D7F3348" w14:textId="77777777" w:rsidR="0029478D" w:rsidRPr="002D5D45" w:rsidRDefault="0029478D" w:rsidP="0029478D">
      <w:pPr>
        <w:pStyle w:val="Brdtext"/>
      </w:pPr>
      <w:r w:rsidRPr="002D5D45">
        <w:t>Med intäkter av livsmedelskontroll avses intäkter från följande arbete: Gå in i behovsutredningens flik ”Kärnverksamhet”. Under rubriken ”Prövning, handläggning, tillsyn och kontroll” summeras intäkterna från raderna ”Livsmedelsanläggningar” och ”Dricksvattenanläggningar”.</w:t>
      </w:r>
    </w:p>
    <w:p w14:paraId="03DF1259" w14:textId="77777777" w:rsidR="00D25C87" w:rsidRPr="002D5D45" w:rsidRDefault="00D25C87" w:rsidP="00D25C87">
      <w:pPr>
        <w:pStyle w:val="Brdtext"/>
        <w:ind w:left="0" w:firstLine="567"/>
      </w:pPr>
      <w:r w:rsidRPr="002D5D45">
        <w:t xml:space="preserve">Mall för uträkning finns som bilaga i </w:t>
      </w:r>
      <w:proofErr w:type="spellStart"/>
      <w:r w:rsidRPr="002D5D45">
        <w:t>Ping</w:t>
      </w:r>
      <w:proofErr w:type="spellEnd"/>
      <w:r w:rsidRPr="002D5D45">
        <w:t xml:space="preserve"> </w:t>
      </w:r>
      <w:proofErr w:type="spellStart"/>
      <w:r w:rsidRPr="002D5D45">
        <w:t>Pong</w:t>
      </w:r>
      <w:proofErr w:type="spellEnd"/>
      <w:r w:rsidRPr="002D5D45">
        <w:t>.</w:t>
      </w:r>
    </w:p>
    <w:p w14:paraId="1FCF94DC" w14:textId="77777777" w:rsidR="0029478D" w:rsidRPr="002D5D45" w:rsidRDefault="005D0A5B" w:rsidP="005D0A5B">
      <w:pPr>
        <w:pStyle w:val="Brdtext"/>
      </w:pPr>
      <w:r w:rsidRPr="002D5D45">
        <w:t>Enhet: Procent</w:t>
      </w:r>
      <w:r w:rsidR="00A7675B" w:rsidRPr="002D5D45">
        <w:br/>
      </w:r>
    </w:p>
    <w:p w14:paraId="798E7C0F" w14:textId="77777777" w:rsidR="00CE0E45" w:rsidRPr="002D5D45" w:rsidRDefault="00CE0E45" w:rsidP="00CE0E45">
      <w:pPr>
        <w:pStyle w:val="Nyckeltal"/>
      </w:pPr>
      <w:r w:rsidRPr="002D5D45">
        <w:t>Antal ti</w:t>
      </w:r>
      <w:r w:rsidR="009F685C" w:rsidRPr="002D5D45">
        <w:t xml:space="preserve">llsynsbesök enligt miljöbalken per </w:t>
      </w:r>
      <w:r w:rsidRPr="002D5D45">
        <w:t>årsarbetskraft</w:t>
      </w:r>
      <w:r w:rsidR="00AF48EA" w:rsidRPr="002D5D45">
        <w:t xml:space="preserve"> (utfall)</w:t>
      </w:r>
    </w:p>
    <w:p w14:paraId="6A3A37DE" w14:textId="77777777" w:rsidR="00CE0E45" w:rsidRPr="002D5D45" w:rsidRDefault="00CE0E45" w:rsidP="00CE0E45">
      <w:pPr>
        <w:pStyle w:val="Rubrik4"/>
      </w:pPr>
      <w:r w:rsidRPr="002D5D45">
        <w:t>Syfte</w:t>
      </w:r>
    </w:p>
    <w:p w14:paraId="567E398E" w14:textId="77777777" w:rsidR="00CE0E45" w:rsidRPr="002D5D45" w:rsidRDefault="00CE0E45" w:rsidP="00CE0E45">
      <w:pPr>
        <w:pStyle w:val="Brdtext"/>
        <w:rPr>
          <w:i/>
        </w:rPr>
      </w:pPr>
      <w:r w:rsidRPr="002D5D45">
        <w:t>För att bibehålla tillsynens legitimitet är det viktigt att tillsynsverksamheten syns ute på fältet och inte bara bedrivs vid skrivbordet. Detta nyckeltal jämför utvecklingen över tid inom tillsynsverksamheten, men kan också vara en källa till inspiration i jämförelse mellan miljö</w:t>
      </w:r>
      <w:r w:rsidR="00335401" w:rsidRPr="002D5D45">
        <w:t>förvaltningar</w:t>
      </w:r>
      <w:r w:rsidR="00881E46" w:rsidRPr="002D5D45">
        <w:t xml:space="preserve">. </w:t>
      </w:r>
      <w:r w:rsidRPr="002D5D45">
        <w:rPr>
          <w:i/>
        </w:rPr>
        <w:t xml:space="preserve">OBS! Variationen mellan </w:t>
      </w:r>
      <w:r w:rsidR="00AA7192" w:rsidRPr="002D5D45">
        <w:rPr>
          <w:i/>
        </w:rPr>
        <w:t>miljöförvaltningarna</w:t>
      </w:r>
      <w:r w:rsidRPr="002D5D45">
        <w:rPr>
          <w:i/>
        </w:rPr>
        <w:t xml:space="preserve"> kan vara stor då uppdraget varierar.</w:t>
      </w:r>
    </w:p>
    <w:p w14:paraId="4372EABB" w14:textId="77777777" w:rsidR="00CE0E45" w:rsidRPr="002D5D45" w:rsidRDefault="00CE0E45" w:rsidP="00CE0E45">
      <w:pPr>
        <w:pStyle w:val="Rubrik4"/>
      </w:pPr>
      <w:r w:rsidRPr="002D5D45">
        <w:t>Definition</w:t>
      </w:r>
    </w:p>
    <w:p w14:paraId="2AA3E239" w14:textId="77777777" w:rsidR="00335401" w:rsidRPr="002D5D45" w:rsidRDefault="00335401" w:rsidP="008452D5">
      <w:pPr>
        <w:pStyle w:val="Brdtext"/>
      </w:pPr>
      <w:r w:rsidRPr="002D5D45">
        <w:t>Samtliga inspektioner/</w:t>
      </w:r>
      <w:r w:rsidR="00CE0E45" w:rsidRPr="002D5D45">
        <w:t>tillsynsbesök under året per årsarbets</w:t>
      </w:r>
      <w:r w:rsidRPr="002D5D45">
        <w:t>kraft enligt miljöbalken. Även tillsynsbesök vid klagomål. E</w:t>
      </w:r>
      <w:r w:rsidR="00CE0E45" w:rsidRPr="002D5D45">
        <w:t>nskilda avlopp</w:t>
      </w:r>
      <w:r w:rsidRPr="002D5D45">
        <w:t xml:space="preserve"> ingår, men inte när det gäller inventeringsarbete</w:t>
      </w:r>
      <w:r w:rsidR="00DD176C" w:rsidRPr="002D5D45">
        <w:t xml:space="preserve">. </w:t>
      </w:r>
      <w:r w:rsidR="00CE0E45" w:rsidRPr="002D5D45">
        <w:t>Som inspektion eller tillsynsbesök räknas alla besök som sker på plats,</w:t>
      </w:r>
      <w:r w:rsidRPr="002D5D45">
        <w:t xml:space="preserve"> </w:t>
      </w:r>
      <w:r w:rsidR="00EE3C41" w:rsidRPr="002D5D45">
        <w:t>anmälda som oanmälda</w:t>
      </w:r>
      <w:r w:rsidR="00CE0E45" w:rsidRPr="002D5D45">
        <w:t>.</w:t>
      </w:r>
      <w:r w:rsidR="00DD176C" w:rsidRPr="002D5D45">
        <w:t xml:space="preserve"> </w:t>
      </w:r>
      <w:r w:rsidR="008452D5" w:rsidRPr="002D5D45">
        <w:t>Flera besök hos samma verksamhetsutövare räknas varje gång som ett besök. Möten på annan plats, typ informationsmöten, räknas inte</w:t>
      </w:r>
      <w:r w:rsidR="006E0DA2" w:rsidRPr="002D5D45">
        <w:t>. Går man ut två stycken, räknas det som en inspektion.</w:t>
      </w:r>
    </w:p>
    <w:p w14:paraId="6C2A79D3" w14:textId="77777777" w:rsidR="00CE0E45" w:rsidRPr="002D5D45" w:rsidRDefault="00CE0E45" w:rsidP="008452D5">
      <w:pPr>
        <w:pStyle w:val="Brdtext"/>
      </w:pPr>
      <w:r w:rsidRPr="002D5D45">
        <w:t xml:space="preserve">För definition av </w:t>
      </w:r>
      <w:r w:rsidR="00AF48EA" w:rsidRPr="002D5D45">
        <w:t xml:space="preserve">miljöbalkstillsyn och </w:t>
      </w:r>
      <w:r w:rsidRPr="002D5D45">
        <w:t>årsarbetsk</w:t>
      </w:r>
      <w:r w:rsidR="00AF48EA" w:rsidRPr="002D5D45">
        <w:t>rafter</w:t>
      </w:r>
      <w:r w:rsidRPr="002D5D45">
        <w:t xml:space="preserve"> se nyckeltal 3.</w:t>
      </w:r>
      <w:r w:rsidR="008452D5" w:rsidRPr="002D5D45">
        <w:t xml:space="preserve"> </w:t>
      </w:r>
    </w:p>
    <w:p w14:paraId="34907AAE" w14:textId="77777777" w:rsidR="00CE0E45" w:rsidRPr="002D5D45" w:rsidRDefault="00CE0E45" w:rsidP="00CE0E45">
      <w:pPr>
        <w:pStyle w:val="Brdtext"/>
      </w:pPr>
      <w:r w:rsidRPr="002D5D45">
        <w:lastRenderedPageBreak/>
        <w:t xml:space="preserve">Enhet: </w:t>
      </w:r>
      <w:r w:rsidR="008452D5" w:rsidRPr="002D5D45">
        <w:t>Stycken/årsarbetskraft</w:t>
      </w:r>
    </w:p>
    <w:p w14:paraId="25BF35C3" w14:textId="77777777" w:rsidR="00CE0E45" w:rsidRPr="002D5D45" w:rsidRDefault="00CE0E45" w:rsidP="00CE0E45">
      <w:pPr>
        <w:pStyle w:val="Nyckeltal"/>
      </w:pPr>
      <w:r w:rsidRPr="002D5D45">
        <w:t xml:space="preserve">Antal </w:t>
      </w:r>
      <w:r w:rsidR="005B4E93" w:rsidRPr="002D5D45">
        <w:t xml:space="preserve">kontroller </w:t>
      </w:r>
      <w:r w:rsidRPr="002D5D45">
        <w:t>enligt livsmede</w:t>
      </w:r>
      <w:r w:rsidR="009F685C" w:rsidRPr="002D5D45">
        <w:t xml:space="preserve">lslagstiftningen per </w:t>
      </w:r>
      <w:r w:rsidRPr="002D5D45">
        <w:t>årsarbetskraft</w:t>
      </w:r>
      <w:r w:rsidR="00AF48EA" w:rsidRPr="002D5D45">
        <w:t xml:space="preserve"> (utfall)</w:t>
      </w:r>
    </w:p>
    <w:p w14:paraId="337E376F" w14:textId="77777777" w:rsidR="00CE0E45" w:rsidRPr="002D5D45" w:rsidRDefault="00CE0E45" w:rsidP="00CE0E45">
      <w:pPr>
        <w:pStyle w:val="Rubrik4"/>
      </w:pPr>
      <w:r w:rsidRPr="002D5D45">
        <w:t>Syfte</w:t>
      </w:r>
    </w:p>
    <w:p w14:paraId="0C215CA4" w14:textId="77777777" w:rsidR="00CE0E45" w:rsidRPr="002D5D45" w:rsidRDefault="00CE0E45" w:rsidP="00CE0E45">
      <w:pPr>
        <w:pStyle w:val="Brdtext"/>
        <w:rPr>
          <w:i/>
        </w:rPr>
      </w:pPr>
      <w:r w:rsidRPr="002D5D45">
        <w:t>För att bibehålla tillsynens legitimitet är det viktigt att tillsynsverksamheten syns ute på fältet och inte bara bedrivs vid skrivbordet. Detta nyckeltal jämför utvecklingen över tid inom tillsynsverksamheten, men kan också vara en källa till inspiration i jämförelse mellan miljö</w:t>
      </w:r>
      <w:r w:rsidR="005B4E93" w:rsidRPr="002D5D45">
        <w:t>förvaltningarna</w:t>
      </w:r>
      <w:r w:rsidR="00C6630D" w:rsidRPr="002D5D45">
        <w:rPr>
          <w:i/>
        </w:rPr>
        <w:t xml:space="preserve">. </w:t>
      </w:r>
      <w:r w:rsidRPr="002D5D45">
        <w:rPr>
          <w:i/>
        </w:rPr>
        <w:t xml:space="preserve">OBS! Variationen mellan </w:t>
      </w:r>
      <w:r w:rsidR="00AA7192" w:rsidRPr="002D5D45">
        <w:rPr>
          <w:i/>
        </w:rPr>
        <w:t>miljöförvaltning</w:t>
      </w:r>
      <w:r w:rsidRPr="002D5D45">
        <w:rPr>
          <w:i/>
        </w:rPr>
        <w:t>en kan v</w:t>
      </w:r>
      <w:r w:rsidR="00C6630D" w:rsidRPr="002D5D45">
        <w:rPr>
          <w:i/>
        </w:rPr>
        <w:t>ara stor då uppdraget varierar.</w:t>
      </w:r>
    </w:p>
    <w:p w14:paraId="76EBC5B5" w14:textId="77777777" w:rsidR="00CE0E45" w:rsidRPr="002D5D45" w:rsidRDefault="00CE0E45" w:rsidP="00CE0E45">
      <w:pPr>
        <w:pStyle w:val="Rubrik4"/>
      </w:pPr>
      <w:r w:rsidRPr="002D5D45">
        <w:t>Definition</w:t>
      </w:r>
    </w:p>
    <w:p w14:paraId="4E0CB18E" w14:textId="77777777" w:rsidR="00CE0E45" w:rsidRPr="002D5D45" w:rsidRDefault="00CE0E45" w:rsidP="008553CC">
      <w:pPr>
        <w:pStyle w:val="Brdtext"/>
      </w:pPr>
      <w:r w:rsidRPr="002D5D45">
        <w:t xml:space="preserve">Samtliga </w:t>
      </w:r>
      <w:r w:rsidR="005B4E93" w:rsidRPr="002D5D45">
        <w:t>kontroller</w:t>
      </w:r>
      <w:r w:rsidRPr="002D5D45">
        <w:t xml:space="preserve"> under året e</w:t>
      </w:r>
      <w:r w:rsidR="005B4E93" w:rsidRPr="002D5D45">
        <w:t xml:space="preserve">nligt livsmedelslagstiftningen per </w:t>
      </w:r>
      <w:r w:rsidRPr="002D5D45">
        <w:t>årsarbetskraft.</w:t>
      </w:r>
      <w:r w:rsidR="005B4E93" w:rsidRPr="002D5D45">
        <w:t xml:space="preserve"> </w:t>
      </w:r>
      <w:r w:rsidRPr="002D5D45">
        <w:t xml:space="preserve">Som </w:t>
      </w:r>
      <w:r w:rsidR="005B4E93" w:rsidRPr="002D5D45">
        <w:t>kontroll</w:t>
      </w:r>
      <w:r w:rsidRPr="002D5D45">
        <w:t xml:space="preserve"> räkna</w:t>
      </w:r>
      <w:r w:rsidR="005B4E93" w:rsidRPr="002D5D45">
        <w:t>s alla besök som sker på plats,</w:t>
      </w:r>
      <w:r w:rsidRPr="002D5D45">
        <w:t xml:space="preserve"> </w:t>
      </w:r>
      <w:r w:rsidR="00EE3C41" w:rsidRPr="002D5D45">
        <w:t>oanmälda som anmälda</w:t>
      </w:r>
      <w:r w:rsidR="00697964" w:rsidRPr="002D5D45">
        <w:t xml:space="preserve"> eller uppföljande besök</w:t>
      </w:r>
      <w:r w:rsidRPr="002D5D45">
        <w:t xml:space="preserve">. </w:t>
      </w:r>
      <w:r w:rsidR="00AA424D" w:rsidRPr="002D5D45">
        <w:t xml:space="preserve">Även besök vid klagomål. </w:t>
      </w:r>
      <w:r w:rsidR="002D5110" w:rsidRPr="002D5D45">
        <w:t>Flera besök hos samma verksamhetsutövare räknas varje gång som ett besök. Möten på annan plats, typ informationsmöten, räknas inte</w:t>
      </w:r>
      <w:r w:rsidR="008553CC" w:rsidRPr="002D5D45">
        <w:t>.</w:t>
      </w:r>
      <w:r w:rsidR="006E0DA2" w:rsidRPr="002D5D45">
        <w:t xml:space="preserve"> Går man ut två stycken, räknas det som en inspektion.</w:t>
      </w:r>
    </w:p>
    <w:p w14:paraId="580477B7" w14:textId="77777777" w:rsidR="00CE0E45" w:rsidRPr="002D5D45" w:rsidRDefault="00CE0E45" w:rsidP="00CE0E45">
      <w:pPr>
        <w:pStyle w:val="Brdtext"/>
      </w:pPr>
      <w:r w:rsidRPr="002D5D45">
        <w:t>För definition av</w:t>
      </w:r>
      <w:r w:rsidR="00AF48EA" w:rsidRPr="002D5D45">
        <w:t xml:space="preserve"> livsmedelskontroll och</w:t>
      </w:r>
      <w:r w:rsidRPr="002D5D45">
        <w:t xml:space="preserve"> årsarbetskrafter se nyckeltal 4.</w:t>
      </w:r>
    </w:p>
    <w:p w14:paraId="3E718D3C" w14:textId="77777777" w:rsidR="00CE0E45" w:rsidRPr="002D5D45" w:rsidRDefault="00CE0E45" w:rsidP="00CE0E45">
      <w:pPr>
        <w:pStyle w:val="Brdtext"/>
      </w:pPr>
      <w:r w:rsidRPr="002D5D45">
        <w:t>Enhet:</w:t>
      </w:r>
      <w:r w:rsidR="002D5110" w:rsidRPr="002D5D45">
        <w:t xml:space="preserve"> Stycken/årsarbetskraft</w:t>
      </w:r>
    </w:p>
    <w:p w14:paraId="254403E6" w14:textId="77777777" w:rsidR="00CE0E45" w:rsidRPr="002D5D45" w:rsidRDefault="00CE0E45" w:rsidP="00CE0E45">
      <w:pPr>
        <w:pStyle w:val="Nyckeltal"/>
      </w:pPr>
      <w:r w:rsidRPr="002D5D45">
        <w:t>Beslut om miljösanktionsavgift</w:t>
      </w:r>
    </w:p>
    <w:p w14:paraId="3D5664DF" w14:textId="77777777" w:rsidR="00CE0E45" w:rsidRPr="002D5D45" w:rsidRDefault="00CE0E45" w:rsidP="00CE0E45">
      <w:pPr>
        <w:pStyle w:val="Rubrik4"/>
      </w:pPr>
      <w:r w:rsidRPr="002D5D45">
        <w:t>Syfte</w:t>
      </w:r>
    </w:p>
    <w:p w14:paraId="3668A271" w14:textId="77777777" w:rsidR="00CE0E45" w:rsidRPr="002D5D45" w:rsidRDefault="00CE0E45" w:rsidP="00CE0E45">
      <w:pPr>
        <w:pStyle w:val="Brdtext"/>
      </w:pPr>
      <w:r w:rsidRPr="002D5D45">
        <w:t>Nyckeltalet ger inspiration till diskussioner kring varför miljösanktionsavgifter är mer eller mindre frekventa mellan miljö</w:t>
      </w:r>
      <w:r w:rsidR="00EE5DAF" w:rsidRPr="002D5D45">
        <w:t xml:space="preserve">förvaltningarna </w:t>
      </w:r>
      <w:r w:rsidRPr="002D5D45">
        <w:t>över tid. Det absoluta talet är sällan intressant utan fokus är på storheter.</w:t>
      </w:r>
    </w:p>
    <w:p w14:paraId="672CA450" w14:textId="77777777" w:rsidR="00CE0E45" w:rsidRPr="002D5D45" w:rsidRDefault="00CE0E45" w:rsidP="00CE0E45">
      <w:pPr>
        <w:pStyle w:val="Rubrik4"/>
      </w:pPr>
      <w:r w:rsidRPr="002D5D45">
        <w:t>Definition</w:t>
      </w:r>
    </w:p>
    <w:p w14:paraId="36A8740B" w14:textId="77777777" w:rsidR="00CE0E45" w:rsidRPr="002D5D45" w:rsidRDefault="00CE0E45" w:rsidP="00CE0E45">
      <w:pPr>
        <w:pStyle w:val="Brdtext"/>
      </w:pPr>
      <w:r w:rsidRPr="002D5D45">
        <w:t>Samtliga beslut om miljösanktionsavgift under året.</w:t>
      </w:r>
    </w:p>
    <w:p w14:paraId="7778A1CF" w14:textId="77777777" w:rsidR="00CE0E45" w:rsidRPr="002D5D45" w:rsidRDefault="00CE0E45" w:rsidP="00CE0E45">
      <w:pPr>
        <w:pStyle w:val="Brdtext"/>
        <w:rPr>
          <w:rFonts w:ascii="Arial" w:hAnsi="Arial" w:cs="Arial"/>
          <w:b/>
          <w:sz w:val="24"/>
        </w:rPr>
      </w:pPr>
      <w:r w:rsidRPr="002D5D45">
        <w:t>Enhet:</w:t>
      </w:r>
      <w:r w:rsidR="00EE5DAF" w:rsidRPr="002D5D45">
        <w:t xml:space="preserve"> Stycken</w:t>
      </w:r>
      <w:r w:rsidR="0048417D" w:rsidRPr="002D5D45">
        <w:t>/år</w:t>
      </w:r>
    </w:p>
    <w:p w14:paraId="69E47DE7" w14:textId="77777777" w:rsidR="00CE0E45" w:rsidRPr="002D5D45" w:rsidRDefault="00CE0E45" w:rsidP="00CE0E45">
      <w:pPr>
        <w:pStyle w:val="Nyckeltal"/>
      </w:pPr>
      <w:r w:rsidRPr="002D5D45">
        <w:t>Antal registrerade anlä</w:t>
      </w:r>
      <w:r w:rsidR="009F685C" w:rsidRPr="002D5D45">
        <w:t>ggningar för livsmedelskontroll per</w:t>
      </w:r>
      <w:r w:rsidRPr="002D5D45">
        <w:t xml:space="preserve"> årsarbetskraft</w:t>
      </w:r>
      <w:r w:rsidR="00AF48EA" w:rsidRPr="002D5D45">
        <w:t xml:space="preserve"> (utfall)</w:t>
      </w:r>
    </w:p>
    <w:p w14:paraId="7DBF02EC" w14:textId="77777777" w:rsidR="00CE0E45" w:rsidRPr="002D5D45" w:rsidRDefault="00CE0E45" w:rsidP="00CE0E45">
      <w:pPr>
        <w:pStyle w:val="Rubrik4"/>
      </w:pPr>
      <w:r w:rsidRPr="002D5D45">
        <w:t>Syfte</w:t>
      </w:r>
    </w:p>
    <w:p w14:paraId="23E0092E" w14:textId="77777777" w:rsidR="00CE0E45" w:rsidRPr="002D5D45" w:rsidRDefault="00CE0E45" w:rsidP="00CE0E45">
      <w:pPr>
        <w:pStyle w:val="Brdtext"/>
      </w:pPr>
      <w:r w:rsidRPr="002D5D45">
        <w:t>Nyckeltalet ger inspiration till diskussioner kring rimlig arbetsbelastning inom livsmedelskontrollen i jämförelse mellan miljö</w:t>
      </w:r>
      <w:r w:rsidR="00367B0B" w:rsidRPr="002D5D45">
        <w:t xml:space="preserve">förvaltningarna. </w:t>
      </w:r>
      <w:r w:rsidRPr="002D5D45">
        <w:t xml:space="preserve">Variationer mellan </w:t>
      </w:r>
      <w:r w:rsidR="00367B0B" w:rsidRPr="002D5D45">
        <w:t>förvaltningarna</w:t>
      </w:r>
      <w:r w:rsidRPr="002D5D45">
        <w:t xml:space="preserve"> förekommer på grund av avstånd, uppdrag och anläggningarnas storlek. Nyckeltalet är också intressant som jämförelse över tid.</w:t>
      </w:r>
    </w:p>
    <w:p w14:paraId="64CCDD7C" w14:textId="77777777" w:rsidR="00CE0E45" w:rsidRPr="002D5D45" w:rsidRDefault="00CE0E45" w:rsidP="00CE0E45">
      <w:pPr>
        <w:pStyle w:val="Rubrik4"/>
      </w:pPr>
      <w:r w:rsidRPr="002D5D45">
        <w:t>Definition</w:t>
      </w:r>
    </w:p>
    <w:p w14:paraId="2259CB98" w14:textId="77777777" w:rsidR="00CE0E45" w:rsidRPr="002D5D45" w:rsidRDefault="00CE0E45" w:rsidP="00367B0B">
      <w:pPr>
        <w:pStyle w:val="Brdtext"/>
      </w:pPr>
      <w:r w:rsidRPr="002D5D45">
        <w:t>Antal registrerade anläggningar för livsmedelskontroll per årsarbetskraft</w:t>
      </w:r>
      <w:r w:rsidR="004C5C27" w:rsidRPr="002D5D45">
        <w:t xml:space="preserve"> inom livsmedelskontrollen</w:t>
      </w:r>
      <w:r w:rsidRPr="002D5D45">
        <w:t>.</w:t>
      </w:r>
      <w:r w:rsidR="00367B0B" w:rsidRPr="002D5D45">
        <w:t xml:space="preserve"> </w:t>
      </w:r>
      <w:r w:rsidRPr="002D5D45">
        <w:t xml:space="preserve">Dricksvattenanläggningar ingår. </w:t>
      </w:r>
    </w:p>
    <w:p w14:paraId="69E44F1F" w14:textId="77777777" w:rsidR="00CE0E45" w:rsidRPr="002D5D45" w:rsidRDefault="00CE0E45" w:rsidP="00CE0E45">
      <w:pPr>
        <w:pStyle w:val="Brdtext"/>
      </w:pPr>
      <w:r w:rsidRPr="002D5D45">
        <w:t>För definition av årsarbetskrafter se nyckeltal 4.</w:t>
      </w:r>
      <w:r w:rsidR="00367B0B" w:rsidRPr="002D5D45">
        <w:t xml:space="preserve"> Antalet livsmedelsanläggningar hämtas ur behovsutredningens flik ”Resultat”.</w:t>
      </w:r>
    </w:p>
    <w:p w14:paraId="76BC4E58" w14:textId="77777777" w:rsidR="00CE0E45" w:rsidRDefault="00CE0E45" w:rsidP="00CE0E45">
      <w:pPr>
        <w:pStyle w:val="Brdtext"/>
      </w:pPr>
      <w:r w:rsidRPr="002D5D45">
        <w:t>Enhet:</w:t>
      </w:r>
      <w:r w:rsidR="00367B0B" w:rsidRPr="002D5D45">
        <w:t xml:space="preserve"> Stycken</w:t>
      </w:r>
      <w:r w:rsidR="008A1829" w:rsidRPr="002D5D45">
        <w:t>/årsarbetskraft</w:t>
      </w:r>
    </w:p>
    <w:p w14:paraId="3116905D" w14:textId="77777777" w:rsidR="00784B53" w:rsidRDefault="00784B53" w:rsidP="00A7675B">
      <w:pPr>
        <w:pStyle w:val="Brdtext"/>
        <w:ind w:left="0"/>
      </w:pPr>
    </w:p>
    <w:p w14:paraId="49AD0624" w14:textId="77777777" w:rsidR="002517A6" w:rsidRPr="0025624A" w:rsidRDefault="002517A6" w:rsidP="002517A6">
      <w:pPr>
        <w:pStyle w:val="Nyckeltal"/>
        <w:numPr>
          <w:ilvl w:val="0"/>
          <w:numId w:val="0"/>
        </w:numPr>
        <w:ind w:left="567" w:hanging="567"/>
        <w:rPr>
          <w:strike/>
        </w:rPr>
      </w:pPr>
      <w:r w:rsidRPr="0025624A">
        <w:lastRenderedPageBreak/>
        <w:t xml:space="preserve">14. </w:t>
      </w:r>
      <w:r w:rsidRPr="0025624A">
        <w:tab/>
        <w:t>Antal förorenade områden, antal riskklassade objekt och antal åtgärdade objekt per år</w:t>
      </w:r>
    </w:p>
    <w:p w14:paraId="0DD1826D" w14:textId="77777777" w:rsidR="002517A6" w:rsidRPr="0025624A" w:rsidRDefault="002517A6" w:rsidP="002517A6">
      <w:pPr>
        <w:pStyle w:val="Nyckeltal"/>
        <w:numPr>
          <w:ilvl w:val="0"/>
          <w:numId w:val="5"/>
        </w:numPr>
        <w:tabs>
          <w:tab w:val="clear" w:pos="567"/>
        </w:tabs>
        <w:spacing w:after="240"/>
      </w:pPr>
      <w:r w:rsidRPr="0025624A">
        <w:t xml:space="preserve">Antal </w:t>
      </w:r>
      <w:r w:rsidR="0025624A" w:rsidRPr="0025624A">
        <w:t>branschklassade</w:t>
      </w:r>
      <w:r w:rsidRPr="0025624A">
        <w:t xml:space="preserve"> eller </w:t>
      </w:r>
      <w:r w:rsidR="0025624A" w:rsidRPr="0025624A">
        <w:t>riskklassade</w:t>
      </w:r>
      <w:r w:rsidRPr="0025624A">
        <w:t xml:space="preserve"> förorenade områden </w:t>
      </w:r>
    </w:p>
    <w:p w14:paraId="39853FED" w14:textId="77777777" w:rsidR="002517A6" w:rsidRPr="0025624A" w:rsidRDefault="002517A6" w:rsidP="002517A6">
      <w:pPr>
        <w:pStyle w:val="Nyckeltal"/>
        <w:numPr>
          <w:ilvl w:val="0"/>
          <w:numId w:val="5"/>
        </w:numPr>
        <w:tabs>
          <w:tab w:val="clear" w:pos="567"/>
        </w:tabs>
        <w:spacing w:after="240"/>
      </w:pPr>
      <w:r w:rsidRPr="0025624A">
        <w:t xml:space="preserve">Antal prioriterade objekt </w:t>
      </w:r>
      <w:bookmarkStart w:id="0" w:name="_Hlk39740843"/>
      <w:r w:rsidRPr="0025624A">
        <w:t>där inventering enligt MIFO fas 1 inte</w:t>
      </w:r>
      <w:bookmarkEnd w:id="0"/>
      <w:r w:rsidRPr="0025624A">
        <w:t xml:space="preserve"> påbörjats</w:t>
      </w:r>
    </w:p>
    <w:p w14:paraId="47F24701" w14:textId="77777777" w:rsidR="002517A6" w:rsidRPr="0025624A" w:rsidRDefault="002517A6" w:rsidP="002517A6">
      <w:pPr>
        <w:pStyle w:val="Nyckeltal"/>
        <w:numPr>
          <w:ilvl w:val="0"/>
          <w:numId w:val="5"/>
        </w:numPr>
        <w:tabs>
          <w:tab w:val="clear" w:pos="567"/>
        </w:tabs>
        <w:spacing w:after="240"/>
      </w:pPr>
      <w:r w:rsidRPr="0025624A">
        <w:t>Antal riskklassade objekt enligt MIFO fas 1 under året</w:t>
      </w:r>
    </w:p>
    <w:p w14:paraId="349ADE63" w14:textId="77777777" w:rsidR="002517A6" w:rsidRPr="0025624A" w:rsidRDefault="002517A6" w:rsidP="002517A6">
      <w:pPr>
        <w:pStyle w:val="Nyckeltal"/>
        <w:numPr>
          <w:ilvl w:val="0"/>
          <w:numId w:val="5"/>
        </w:numPr>
        <w:tabs>
          <w:tab w:val="clear" w:pos="567"/>
        </w:tabs>
        <w:spacing w:after="240"/>
      </w:pPr>
      <w:r w:rsidRPr="0025624A">
        <w:t>Antal objekt i riskklass 1 eller 2 efter genomförd MIFO fas 1</w:t>
      </w:r>
    </w:p>
    <w:p w14:paraId="34523A75" w14:textId="77777777" w:rsidR="002517A6" w:rsidRPr="0025624A" w:rsidRDefault="002517A6" w:rsidP="002517A6">
      <w:pPr>
        <w:pStyle w:val="Nyckeltal"/>
        <w:numPr>
          <w:ilvl w:val="0"/>
          <w:numId w:val="5"/>
        </w:numPr>
        <w:tabs>
          <w:tab w:val="clear" w:pos="567"/>
        </w:tabs>
        <w:spacing w:after="240"/>
      </w:pPr>
      <w:r w:rsidRPr="0025624A">
        <w:t>Antal riskklassade objekt enligt MIFO fas 2 under året</w:t>
      </w:r>
    </w:p>
    <w:p w14:paraId="519960B6" w14:textId="77777777" w:rsidR="002517A6" w:rsidRPr="0025624A" w:rsidRDefault="002517A6" w:rsidP="002517A6">
      <w:pPr>
        <w:pStyle w:val="Nyckeltal"/>
        <w:numPr>
          <w:ilvl w:val="0"/>
          <w:numId w:val="5"/>
        </w:numPr>
        <w:tabs>
          <w:tab w:val="clear" w:pos="567"/>
        </w:tabs>
        <w:spacing w:after="240"/>
      </w:pPr>
      <w:r w:rsidRPr="0025624A">
        <w:t>Antal objekt i riskklass 1 eller 2 efter MIFO fas 2 (eller andra undersökningar)</w:t>
      </w:r>
    </w:p>
    <w:p w14:paraId="04200787" w14:textId="77777777" w:rsidR="002517A6" w:rsidRPr="0025624A" w:rsidRDefault="002517A6" w:rsidP="002517A6">
      <w:pPr>
        <w:pStyle w:val="Nyckeltal"/>
        <w:numPr>
          <w:ilvl w:val="0"/>
          <w:numId w:val="5"/>
        </w:numPr>
        <w:tabs>
          <w:tab w:val="clear" w:pos="567"/>
        </w:tabs>
        <w:spacing w:after="240"/>
      </w:pPr>
      <w:r w:rsidRPr="0025624A">
        <w:t>Antal åtgärdade objekt under året</w:t>
      </w:r>
    </w:p>
    <w:p w14:paraId="5BCD7E9D" w14:textId="77777777" w:rsidR="002517A6" w:rsidRPr="0025624A" w:rsidRDefault="002517A6" w:rsidP="002517A6">
      <w:pPr>
        <w:pStyle w:val="Rubrik4"/>
      </w:pPr>
      <w:r w:rsidRPr="0025624A">
        <w:t>Syfte</w:t>
      </w:r>
    </w:p>
    <w:p w14:paraId="757F2C31" w14:textId="77777777" w:rsidR="002517A6" w:rsidRPr="0025624A" w:rsidRDefault="002517A6" w:rsidP="002517A6">
      <w:pPr>
        <w:pStyle w:val="Brdtext"/>
      </w:pPr>
      <w:r w:rsidRPr="0025624A">
        <w:t>Nyckeltalen ger en bild av hur många förorenade områden det finns och hur många som riskklassats och åtgärdats per år. De senare för att kunna se om åtgärdstakten fram till 2040 och 2050 hålls.</w:t>
      </w:r>
    </w:p>
    <w:p w14:paraId="2ACF47DE" w14:textId="77777777" w:rsidR="002517A6" w:rsidRPr="0025624A" w:rsidRDefault="002517A6" w:rsidP="002517A6">
      <w:pPr>
        <w:pStyle w:val="Brdtext"/>
      </w:pPr>
    </w:p>
    <w:p w14:paraId="6D04D10F" w14:textId="77777777" w:rsidR="002517A6" w:rsidRPr="0025624A" w:rsidRDefault="002517A6" w:rsidP="002517A6">
      <w:pPr>
        <w:pStyle w:val="Default"/>
        <w:ind w:firstLine="567"/>
        <w:rPr>
          <w:rFonts w:ascii="Arial" w:hAnsi="Arial" w:cs="Arial"/>
          <w:color w:val="auto"/>
          <w:sz w:val="20"/>
          <w:szCs w:val="20"/>
          <w:u w:val="single"/>
          <w:lang w:eastAsia="sv-SE"/>
        </w:rPr>
      </w:pPr>
      <w:r w:rsidRPr="0025624A">
        <w:rPr>
          <w:rFonts w:ascii="Arial" w:hAnsi="Arial" w:cs="Arial"/>
          <w:color w:val="auto"/>
          <w:sz w:val="20"/>
          <w:szCs w:val="20"/>
          <w:u w:val="single"/>
          <w:lang w:eastAsia="sv-SE"/>
        </w:rPr>
        <w:t>Mål</w:t>
      </w:r>
    </w:p>
    <w:p w14:paraId="6CD51C3D" w14:textId="77777777" w:rsidR="002517A6" w:rsidRPr="0025624A" w:rsidRDefault="002517A6" w:rsidP="002517A6">
      <w:pPr>
        <w:ind w:left="567"/>
        <w:rPr>
          <w:szCs w:val="20"/>
          <w:lang w:eastAsia="sv-SE"/>
        </w:rPr>
      </w:pPr>
      <w:r w:rsidRPr="0025624A">
        <w:rPr>
          <w:szCs w:val="20"/>
          <w:lang w:eastAsia="sv-SE"/>
        </w:rPr>
        <w:t xml:space="preserve">År 2040 ska samtliga prioriterade objekt vara riskklassade enligt MIFO-fas 2 eller liknande. </w:t>
      </w:r>
    </w:p>
    <w:p w14:paraId="46A950A9" w14:textId="77777777" w:rsidR="002517A6" w:rsidRPr="0025624A" w:rsidRDefault="002517A6" w:rsidP="002517A6">
      <w:pPr>
        <w:ind w:left="567"/>
        <w:rPr>
          <w:szCs w:val="20"/>
          <w:lang w:eastAsia="sv-SE"/>
        </w:rPr>
      </w:pPr>
      <w:r w:rsidRPr="0025624A">
        <w:rPr>
          <w:szCs w:val="20"/>
          <w:lang w:eastAsia="sv-SE"/>
        </w:rPr>
        <w:t>Som övergripande mål gäller att år 2050 ska alla områden med mycket stor risk (riskklass 1) eller stor risk (riskklass 2) f</w:t>
      </w:r>
      <w:r w:rsidR="009E3C8F" w:rsidRPr="0025624A">
        <w:rPr>
          <w:szCs w:val="20"/>
          <w:lang w:eastAsia="sv-SE"/>
        </w:rPr>
        <w:t>ör människors hälsa eller miljö</w:t>
      </w:r>
      <w:r w:rsidRPr="0025624A">
        <w:rPr>
          <w:szCs w:val="20"/>
          <w:lang w:eastAsia="sv-SE"/>
        </w:rPr>
        <w:t xml:space="preserve"> vara åtgärdade.</w:t>
      </w:r>
    </w:p>
    <w:p w14:paraId="68885103" w14:textId="77777777" w:rsidR="002517A6" w:rsidRPr="0025624A" w:rsidRDefault="002517A6" w:rsidP="002517A6">
      <w:pPr>
        <w:pStyle w:val="Rubrik4"/>
      </w:pPr>
      <w:r w:rsidRPr="0025624A">
        <w:t>Definition</w:t>
      </w:r>
    </w:p>
    <w:p w14:paraId="5098D653" w14:textId="77777777" w:rsidR="002517A6" w:rsidRDefault="0025624A" w:rsidP="002517A6">
      <w:pPr>
        <w:pStyle w:val="Brdtext"/>
      </w:pPr>
      <w:r>
        <w:t xml:space="preserve">Uppgifter till a, b, d och f </w:t>
      </w:r>
      <w:r w:rsidR="002517A6" w:rsidRPr="0025624A">
        <w:t>hämtas från länsstyrelsens MIFO-databas, EBH-stödet. Antalet under a) är antalet i kommunen oavsett tillsynsmyndighet, övriga redovisningar av antal är där kommunen har tillsynsansvar. Objekt under b) har status</w:t>
      </w:r>
      <w:r w:rsidR="002517A6" w:rsidRPr="0025624A">
        <w:rPr>
          <w:i/>
          <w:iCs/>
        </w:rPr>
        <w:t xml:space="preserve"> identifiering avslutad - inventering ej påbörjad</w:t>
      </w:r>
      <w:r w:rsidR="002517A6" w:rsidRPr="0025624A">
        <w:t xml:space="preserve"> i databasen.</w:t>
      </w:r>
      <w:r w:rsidRPr="0025624A">
        <w:t xml:space="preserve"> Punkten g) avser </w:t>
      </w:r>
      <w:r>
        <w:t>alltså objekt som är avförda</w:t>
      </w:r>
      <w:r w:rsidRPr="0025624A">
        <w:t xml:space="preserve"> från EBH-stödet.</w:t>
      </w:r>
      <w:r w:rsidR="002517A6" w:rsidRPr="0025624A">
        <w:br/>
        <w:t>Enhet: Stycken</w:t>
      </w:r>
      <w:r w:rsidR="002517A6">
        <w:t xml:space="preserve"> </w:t>
      </w:r>
    </w:p>
    <w:p w14:paraId="1263201F" w14:textId="77777777" w:rsidR="00872919" w:rsidRDefault="00872919" w:rsidP="00867DFA">
      <w:pPr>
        <w:pStyle w:val="Brdtext"/>
      </w:pPr>
    </w:p>
    <w:sectPr w:rsidR="00872919" w:rsidSect="00CE0E45">
      <w:footerReference w:type="even" r:id="rId14"/>
      <w:footerReference w:type="default" r:id="rId15"/>
      <w:headerReference w:type="first" r:id="rId16"/>
      <w:footerReference w:type="first" r:id="rId17"/>
      <w:pgSz w:w="11906" w:h="16838" w:code="9"/>
      <w:pgMar w:top="992" w:right="2007" w:bottom="851" w:left="1418"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8FDB" w14:textId="77777777" w:rsidR="00BA2A64" w:rsidRDefault="00C51EB4">
      <w:r>
        <w:separator/>
      </w:r>
    </w:p>
  </w:endnote>
  <w:endnote w:type="continuationSeparator" w:id="0">
    <w:p w14:paraId="6F2DFCEF" w14:textId="77777777" w:rsidR="00BA2A64" w:rsidRDefault="00C5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A304" w14:textId="77777777" w:rsidR="00B90C6D" w:rsidRPr="00667007" w:rsidRDefault="00B662D4" w:rsidP="00667007">
    <w:pPr>
      <w:pStyle w:val="KSLNormal"/>
      <w:tabs>
        <w:tab w:val="right" w:pos="8460"/>
        <w:tab w:val="right" w:pos="8789"/>
      </w:tabs>
      <w:ind w:left="-181"/>
      <w:rPr>
        <w:noProof/>
      </w:rPr>
    </w:pPr>
    <w:r w:rsidRPr="000E6080">
      <w:rPr>
        <w:rFonts w:ascii="Arial" w:hAnsi="Arial" w:cs="Arial"/>
        <w:noProof/>
        <w:sz w:val="16"/>
        <w:szCs w:val="16"/>
      </w:rPr>
      <w:fldChar w:fldCharType="begin"/>
    </w:r>
    <w:r w:rsidRPr="000E6080">
      <w:rPr>
        <w:rFonts w:ascii="Arial" w:hAnsi="Arial" w:cs="Arial"/>
        <w:noProof/>
        <w:sz w:val="16"/>
        <w:szCs w:val="16"/>
      </w:rPr>
      <w:instrText xml:space="preserve"> PAGE  \* MERGEFORMAT </w:instrText>
    </w:r>
    <w:r w:rsidRPr="000E6080">
      <w:rPr>
        <w:rFonts w:ascii="Arial" w:hAnsi="Arial" w:cs="Arial"/>
        <w:noProof/>
        <w:sz w:val="16"/>
        <w:szCs w:val="16"/>
      </w:rPr>
      <w:fldChar w:fldCharType="separate"/>
    </w:r>
    <w:r w:rsidR="009942E6">
      <w:rPr>
        <w:rFonts w:ascii="Arial" w:hAnsi="Arial" w:cs="Arial"/>
        <w:noProof/>
        <w:sz w:val="16"/>
        <w:szCs w:val="16"/>
      </w:rPr>
      <w:t>5</w:t>
    </w:r>
    <w:r w:rsidRPr="000E6080">
      <w:rPr>
        <w:rFonts w:ascii="Arial" w:hAnsi="Arial" w:cs="Arial"/>
        <w:noProof/>
        <w:sz w:val="16"/>
        <w:szCs w:val="16"/>
      </w:rPr>
      <w:fldChar w:fldCharType="end"/>
    </w:r>
    <w:r w:rsidRPr="000E6080">
      <w:rPr>
        <w:rFonts w:ascii="Arial" w:hAnsi="Arial" w:cs="Arial"/>
        <w:noProof/>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9942E6">
      <w:rPr>
        <w:rFonts w:ascii="Arial" w:hAnsi="Arial" w:cs="Arial"/>
        <w:noProof/>
        <w:sz w:val="16"/>
        <w:szCs w:val="16"/>
      </w:rPr>
      <w:t>5</w:t>
    </w:r>
    <w:r>
      <w:rPr>
        <w:rFonts w:ascii="Arial" w:hAnsi="Arial" w:cs="Arial"/>
        <w:noProof/>
        <w:sz w:val="16"/>
        <w:szCs w:val="16"/>
      </w:rPr>
      <w:fldChar w:fldCharType="end"/>
    </w:r>
    <w:r w:rsidRPr="000E6080">
      <w:rPr>
        <w:rFonts w:ascii="Arial" w:hAnsi="Arial" w:cs="Arial"/>
        <w:noProof/>
        <w:sz w:val="16"/>
        <w:szCs w:val="16"/>
      </w:rPr>
      <w:t>)</w:t>
    </w:r>
    <w:r w:rsidRPr="000E6080">
      <w:rPr>
        <w:rFonts w:ascii="Arial" w:hAnsi="Arial" w:cs="Arial"/>
        <w:noProof/>
        <w:sz w:val="16"/>
        <w:szCs w:val="16"/>
      </w:rPr>
      <w:tab/>
    </w:r>
    <w:r w:rsidRPr="00E37C64">
      <w:rPr>
        <w:rFonts w:ascii="Arial" w:hAnsi="Arial"/>
        <w:sz w:val="16"/>
        <w:szCs w:val="16"/>
      </w:rPr>
      <w:t xml:space="preserve">Miljösamverkan Stockholms </w:t>
    </w:r>
    <w:r>
      <w:rPr>
        <w:rFonts w:ascii="Arial" w:hAnsi="Arial"/>
        <w:sz w:val="16"/>
        <w:szCs w:val="16"/>
      </w:rPr>
      <w:t>l</w:t>
    </w:r>
    <w:r w:rsidRPr="00E37C64">
      <w:rPr>
        <w:rFonts w:ascii="Arial" w:hAnsi="Arial"/>
        <w:sz w:val="16"/>
        <w:szCs w:val="16"/>
      </w:rPr>
      <w:t>än</w:t>
    </w:r>
    <w:r>
      <w:rPr>
        <w:rFonts w:ascii="Arial" w:hAnsi="Arial"/>
        <w:sz w:val="16"/>
        <w:szCs w:val="16"/>
      </w:rPr>
      <w:t>, n</w:t>
    </w:r>
    <w:r w:rsidRPr="00074635">
      <w:rPr>
        <w:rFonts w:ascii="Arial" w:hAnsi="Arial"/>
        <w:sz w:val="16"/>
        <w:szCs w:val="16"/>
      </w:rPr>
      <w:t>yckeltal</w:t>
    </w:r>
    <w:r>
      <w:rPr>
        <w:rFonts w:ascii="Arial" w:hAnsi="Arial"/>
        <w:sz w:val="16"/>
        <w:szCs w:val="16"/>
      </w:rPr>
      <w:t>sd</w:t>
    </w:r>
    <w:r w:rsidRPr="00074635">
      <w:rPr>
        <w:rFonts w:ascii="Arial" w:hAnsi="Arial"/>
        <w:sz w:val="16"/>
        <w:szCs w:val="16"/>
      </w:rPr>
      <w:t>efinitioner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294B" w14:textId="77777777" w:rsidR="00B90C6D" w:rsidRDefault="00B662D4" w:rsidP="000B63E8">
    <w:pPr>
      <w:pStyle w:val="KSLNormal"/>
      <w:tabs>
        <w:tab w:val="right" w:pos="8505"/>
      </w:tabs>
      <w:ind w:left="-181" w:right="-733"/>
      <w:rPr>
        <w:noProof/>
      </w:rPr>
    </w:pPr>
    <w:r>
      <w:rPr>
        <w:rFonts w:ascii="Arial" w:hAnsi="Arial" w:cs="Arial"/>
        <w:noProof/>
        <w:sz w:val="20"/>
      </w:rPr>
      <w:tab/>
    </w:r>
    <w:r w:rsidRPr="000E6080">
      <w:rPr>
        <w:rFonts w:ascii="Arial" w:hAnsi="Arial" w:cs="Arial"/>
        <w:noProof/>
        <w:sz w:val="16"/>
        <w:szCs w:val="16"/>
      </w:rPr>
      <w:fldChar w:fldCharType="begin"/>
    </w:r>
    <w:r w:rsidRPr="000E6080">
      <w:rPr>
        <w:rFonts w:ascii="Arial" w:hAnsi="Arial" w:cs="Arial"/>
        <w:noProof/>
        <w:sz w:val="16"/>
        <w:szCs w:val="16"/>
      </w:rPr>
      <w:instrText xml:space="preserve"> PAGE  \* MERGEFORMAT </w:instrText>
    </w:r>
    <w:r w:rsidRPr="000E6080">
      <w:rPr>
        <w:rFonts w:ascii="Arial" w:hAnsi="Arial" w:cs="Arial"/>
        <w:noProof/>
        <w:sz w:val="16"/>
        <w:szCs w:val="16"/>
      </w:rPr>
      <w:fldChar w:fldCharType="separate"/>
    </w:r>
    <w:r w:rsidR="0025624A">
      <w:rPr>
        <w:rFonts w:ascii="Arial" w:hAnsi="Arial" w:cs="Arial"/>
        <w:noProof/>
        <w:sz w:val="16"/>
        <w:szCs w:val="16"/>
      </w:rPr>
      <w:t>4</w:t>
    </w:r>
    <w:r w:rsidRPr="000E6080">
      <w:rPr>
        <w:rFonts w:ascii="Arial" w:hAnsi="Arial" w:cs="Arial"/>
        <w:noProof/>
        <w:sz w:val="16"/>
        <w:szCs w:val="16"/>
      </w:rPr>
      <w:fldChar w:fldCharType="end"/>
    </w:r>
    <w:r w:rsidRPr="000E6080">
      <w:rPr>
        <w:rFonts w:ascii="Arial" w:hAnsi="Arial" w:cs="Arial"/>
        <w:noProof/>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sidR="0025624A">
      <w:rPr>
        <w:rFonts w:ascii="Arial" w:hAnsi="Arial" w:cs="Arial"/>
        <w:noProof/>
        <w:sz w:val="16"/>
        <w:szCs w:val="16"/>
      </w:rPr>
      <w:t>5</w:t>
    </w:r>
    <w:r>
      <w:rPr>
        <w:rFonts w:ascii="Arial" w:hAnsi="Arial" w:cs="Arial"/>
        <w:noProof/>
        <w:sz w:val="16"/>
        <w:szCs w:val="16"/>
      </w:rPr>
      <w:fldChar w:fldCharType="end"/>
    </w:r>
    <w:r w:rsidRPr="000E6080">
      <w:rPr>
        <w:rFonts w:ascii="Arial" w:hAnsi="Arial" w:cs="Arial"/>
        <w:noProof/>
        <w:sz w:val="16"/>
        <w:szCs w:val="16"/>
      </w:rPr>
      <w:t>)</w:t>
    </w:r>
    <w:bookmarkStart w:id="1" w:name="DokumentNamn2Start"/>
    <w:bookmarkStart w:id="2" w:name="DokumentNamn2Slut"/>
    <w:bookmarkStart w:id="3" w:name="s2_10000_2"/>
    <w:bookmarkStart w:id="4" w:name="Datum2Start"/>
    <w:bookmarkStart w:id="5" w:name="Datum2Slut"/>
    <w:bookmarkStart w:id="6" w:name="DiarieNr2Start"/>
    <w:bookmarkStart w:id="7" w:name="Diarienr2Slut"/>
    <w:bookmarkEnd w:id="1"/>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3609" w14:textId="77777777" w:rsidR="00B90C6D" w:rsidRPr="00E37C64" w:rsidRDefault="00B662D4" w:rsidP="005237C4">
    <w:pPr>
      <w:pStyle w:val="KSLsidfot"/>
      <w:pBdr>
        <w:top w:val="single" w:sz="4" w:space="8" w:color="auto"/>
      </w:pBdr>
      <w:spacing w:before="240"/>
      <w:ind w:left="0" w:right="45"/>
      <w:jc w:val="center"/>
      <w:rPr>
        <w:szCs w:val="16"/>
        <w:lang w:val="en-GB"/>
      </w:rPr>
    </w:pPr>
    <w:bookmarkStart w:id="8" w:name="PostadrStart"/>
    <w:bookmarkEnd w:id="8"/>
    <w:r w:rsidRPr="00E37C64">
      <w:rPr>
        <w:szCs w:val="16"/>
      </w:rPr>
      <w:t xml:space="preserve">Miljösamverkan </w:t>
    </w:r>
    <w:r w:rsidR="00E724B5">
      <w:rPr>
        <w:szCs w:val="16"/>
      </w:rPr>
      <w:t>Jönköpings län</w:t>
    </w:r>
    <w:r w:rsidRPr="00E37C64">
      <w:rPr>
        <w:szCs w:val="16"/>
      </w:rPr>
      <w:t xml:space="preserve">. </w:t>
    </w:r>
    <w:r w:rsidRPr="00E37C64">
      <w:rPr>
        <w:szCs w:val="16"/>
      </w:rPr>
      <w:br/>
    </w:r>
    <w:bookmarkStart w:id="9" w:name="HemsidaStart"/>
    <w:bookmarkEnd w:id="9"/>
    <w:r w:rsidRPr="00E37C64">
      <w:rPr>
        <w:szCs w:val="16"/>
        <w:lang w:val="en-GB"/>
      </w:rPr>
      <w:t xml:space="preserve"> www.</w:t>
    </w:r>
    <w:bookmarkStart w:id="10" w:name="HemsidaSlut"/>
    <w:bookmarkEnd w:id="10"/>
    <w:r w:rsidR="00E724B5">
      <w:rPr>
        <w:szCs w:val="16"/>
        <w:lang w:val="en-GB"/>
      </w:rPr>
      <w:t>rjl.se/miljosamverkan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B4EE" w14:textId="77777777" w:rsidR="00BA2A64" w:rsidRDefault="00C51EB4">
      <w:r>
        <w:separator/>
      </w:r>
    </w:p>
  </w:footnote>
  <w:footnote w:type="continuationSeparator" w:id="0">
    <w:p w14:paraId="087374EC" w14:textId="77777777" w:rsidR="00BA2A64" w:rsidRDefault="00C5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E9C4" w14:textId="77777777" w:rsidR="00B33488" w:rsidRDefault="00B662D4" w:rsidP="00E4766F">
    <w:pPr>
      <w:pStyle w:val="KSLNormal"/>
      <w:tabs>
        <w:tab w:val="left" w:pos="4500"/>
        <w:tab w:val="right" w:pos="8280"/>
      </w:tabs>
      <w:ind w:right="43"/>
      <w:jc w:val="right"/>
      <w:rPr>
        <w:sz w:val="16"/>
        <w:szCs w:val="16"/>
      </w:rPr>
    </w:pPr>
    <w:r>
      <w:rPr>
        <w:rFonts w:ascii="Arial" w:hAnsi="Arial" w:cs="Arial"/>
        <w:sz w:val="48"/>
      </w:rPr>
      <w:tab/>
    </w:r>
  </w:p>
  <w:p w14:paraId="23ECF44C" w14:textId="77777777" w:rsidR="00E75E83" w:rsidRPr="00E75E83" w:rsidRDefault="00B662D4" w:rsidP="00E75E83">
    <w:pPr>
      <w:pStyle w:val="Brdtext"/>
      <w:rPr>
        <w:sz w:val="22"/>
        <w:szCs w:val="22"/>
      </w:rPr>
    </w:pPr>
    <w:r w:rsidRPr="00E4766F">
      <w:rPr>
        <w:noProof/>
        <w:sz w:val="16"/>
        <w:szCs w:val="16"/>
      </w:rPr>
      <w:drawing>
        <wp:inline distT="0" distB="0" distL="0" distR="0" wp14:anchorId="0D279532" wp14:editId="42936778">
          <wp:extent cx="2063750" cy="545141"/>
          <wp:effectExtent l="0" t="0" r="0" b="7620"/>
          <wp:docPr id="3" name="Bildobjekt 3" descr="G:\Kommunal utveckling\Miljösamverkan\Logga och mallar\Miljösamverkan Jönköpings lä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mmunal utveckling\Miljösamverkan\Logga och mallar\Miljösamverkan Jönköpings län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98" cy="548667"/>
                  </a:xfrm>
                  <a:prstGeom prst="rect">
                    <a:avLst/>
                  </a:prstGeom>
                  <a:noFill/>
                  <a:ln>
                    <a:noFill/>
                  </a:ln>
                </pic:spPr>
              </pic:pic>
            </a:graphicData>
          </a:graphic>
        </wp:inline>
      </w:drawing>
    </w:r>
    <w:r w:rsidR="00981BA3">
      <w:rPr>
        <w:i/>
        <w:sz w:val="22"/>
        <w:szCs w:val="22"/>
      </w:rPr>
      <w:t>Beslutade i</w:t>
    </w:r>
    <w:r w:rsidR="00981BA3" w:rsidRPr="00981BA3">
      <w:rPr>
        <w:i/>
        <w:sz w:val="22"/>
        <w:szCs w:val="22"/>
      </w:rPr>
      <w:t xml:space="preserve"> sty</w:t>
    </w:r>
    <w:r w:rsidR="00732316">
      <w:rPr>
        <w:i/>
        <w:sz w:val="22"/>
        <w:szCs w:val="22"/>
      </w:rPr>
      <w:t xml:space="preserve">rgrupp Miljösamverkan </w:t>
    </w:r>
    <w:r w:rsidR="0025624A">
      <w:rPr>
        <w:i/>
        <w:sz w:val="22"/>
        <w:szCs w:val="22"/>
      </w:rPr>
      <w:t>2020-05-26</w:t>
    </w:r>
  </w:p>
  <w:p w14:paraId="5464D742" w14:textId="77777777" w:rsidR="00B90C6D" w:rsidRDefault="001A4EC1" w:rsidP="0066439F">
    <w:pPr>
      <w:pStyle w:val="KSL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77F4"/>
    <w:multiLevelType w:val="hybridMultilevel"/>
    <w:tmpl w:val="B8E266F8"/>
    <w:lvl w:ilvl="0" w:tplc="D94CF7E0">
      <w:start w:val="1"/>
      <w:numFmt w:val="bullet"/>
      <w:pStyle w:val="brdpunkter"/>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5C4FD8"/>
    <w:multiLevelType w:val="hybridMultilevel"/>
    <w:tmpl w:val="23C6C374"/>
    <w:lvl w:ilvl="0" w:tplc="D584DE36">
      <w:start w:val="1"/>
      <w:numFmt w:val="decimal"/>
      <w:pStyle w:val="Nyckeltal"/>
      <w:lvlText w:val="%1."/>
      <w:lvlJc w:val="left"/>
      <w:pPr>
        <w:ind w:left="1495" w:hanging="360"/>
      </w:p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13351772"/>
    <w:multiLevelType w:val="hybridMultilevel"/>
    <w:tmpl w:val="988A8CA4"/>
    <w:lvl w:ilvl="0" w:tplc="C712BAE0">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37F15747"/>
    <w:multiLevelType w:val="hybridMultilevel"/>
    <w:tmpl w:val="D65E6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45"/>
    <w:rsid w:val="00012D56"/>
    <w:rsid w:val="00044A79"/>
    <w:rsid w:val="00083156"/>
    <w:rsid w:val="000950C2"/>
    <w:rsid w:val="000C21A4"/>
    <w:rsid w:val="000E42B6"/>
    <w:rsid w:val="0011376F"/>
    <w:rsid w:val="00120020"/>
    <w:rsid w:val="00122A41"/>
    <w:rsid w:val="00123245"/>
    <w:rsid w:val="00155C66"/>
    <w:rsid w:val="00167A6F"/>
    <w:rsid w:val="001A4EC1"/>
    <w:rsid w:val="001C7400"/>
    <w:rsid w:val="001D2250"/>
    <w:rsid w:val="001E37C0"/>
    <w:rsid w:val="00227759"/>
    <w:rsid w:val="00227A0E"/>
    <w:rsid w:val="002517A6"/>
    <w:rsid w:val="0025624A"/>
    <w:rsid w:val="00275AD1"/>
    <w:rsid w:val="0029353F"/>
    <w:rsid w:val="0029478D"/>
    <w:rsid w:val="002A089A"/>
    <w:rsid w:val="002D5110"/>
    <w:rsid w:val="002D5D45"/>
    <w:rsid w:val="003170FB"/>
    <w:rsid w:val="003225CD"/>
    <w:rsid w:val="00335401"/>
    <w:rsid w:val="00361C4E"/>
    <w:rsid w:val="00367B0B"/>
    <w:rsid w:val="003A5930"/>
    <w:rsid w:val="003F56D5"/>
    <w:rsid w:val="004276B3"/>
    <w:rsid w:val="004378D6"/>
    <w:rsid w:val="0044469A"/>
    <w:rsid w:val="00455A0E"/>
    <w:rsid w:val="00471426"/>
    <w:rsid w:val="004732B0"/>
    <w:rsid w:val="0048417D"/>
    <w:rsid w:val="004C2810"/>
    <w:rsid w:val="004C5C27"/>
    <w:rsid w:val="004C7AD8"/>
    <w:rsid w:val="004E6F64"/>
    <w:rsid w:val="004F2526"/>
    <w:rsid w:val="0058057C"/>
    <w:rsid w:val="005A1614"/>
    <w:rsid w:val="005B4E93"/>
    <w:rsid w:val="005C0430"/>
    <w:rsid w:val="005D0A5B"/>
    <w:rsid w:val="005E1984"/>
    <w:rsid w:val="005F014D"/>
    <w:rsid w:val="006328D5"/>
    <w:rsid w:val="00671F82"/>
    <w:rsid w:val="00697964"/>
    <w:rsid w:val="006A7496"/>
    <w:rsid w:val="006C323A"/>
    <w:rsid w:val="006D3F28"/>
    <w:rsid w:val="006D42AB"/>
    <w:rsid w:val="006D71D3"/>
    <w:rsid w:val="006D7329"/>
    <w:rsid w:val="006E0DA2"/>
    <w:rsid w:val="006E6558"/>
    <w:rsid w:val="006F1170"/>
    <w:rsid w:val="00707149"/>
    <w:rsid w:val="00707B8A"/>
    <w:rsid w:val="00732316"/>
    <w:rsid w:val="00784B53"/>
    <w:rsid w:val="007C7775"/>
    <w:rsid w:val="0080263C"/>
    <w:rsid w:val="008452D5"/>
    <w:rsid w:val="008553CC"/>
    <w:rsid w:val="008624CA"/>
    <w:rsid w:val="00867DFA"/>
    <w:rsid w:val="008702A0"/>
    <w:rsid w:val="00872919"/>
    <w:rsid w:val="00881E46"/>
    <w:rsid w:val="008A1829"/>
    <w:rsid w:val="008C6AB4"/>
    <w:rsid w:val="008D10FE"/>
    <w:rsid w:val="008E0B81"/>
    <w:rsid w:val="008E4E1F"/>
    <w:rsid w:val="008E54E2"/>
    <w:rsid w:val="008F412C"/>
    <w:rsid w:val="009127A7"/>
    <w:rsid w:val="00922CDF"/>
    <w:rsid w:val="00981BA3"/>
    <w:rsid w:val="00983ABC"/>
    <w:rsid w:val="009942E6"/>
    <w:rsid w:val="009A3B4C"/>
    <w:rsid w:val="009A5B69"/>
    <w:rsid w:val="009B7178"/>
    <w:rsid w:val="009C4D2B"/>
    <w:rsid w:val="009D2351"/>
    <w:rsid w:val="009E2D97"/>
    <w:rsid w:val="009E3C8F"/>
    <w:rsid w:val="009F1779"/>
    <w:rsid w:val="009F685C"/>
    <w:rsid w:val="00A11B7F"/>
    <w:rsid w:val="00A53104"/>
    <w:rsid w:val="00A63E64"/>
    <w:rsid w:val="00A731F9"/>
    <w:rsid w:val="00A73742"/>
    <w:rsid w:val="00A7675B"/>
    <w:rsid w:val="00AA424D"/>
    <w:rsid w:val="00AA7192"/>
    <w:rsid w:val="00AB505F"/>
    <w:rsid w:val="00AC2A03"/>
    <w:rsid w:val="00AD1603"/>
    <w:rsid w:val="00AF48EA"/>
    <w:rsid w:val="00B0111A"/>
    <w:rsid w:val="00B10BCC"/>
    <w:rsid w:val="00B10DB1"/>
    <w:rsid w:val="00B1742B"/>
    <w:rsid w:val="00B278B1"/>
    <w:rsid w:val="00B651B8"/>
    <w:rsid w:val="00B662D4"/>
    <w:rsid w:val="00B926C4"/>
    <w:rsid w:val="00BA2A64"/>
    <w:rsid w:val="00BA52CB"/>
    <w:rsid w:val="00BF043A"/>
    <w:rsid w:val="00C05F51"/>
    <w:rsid w:val="00C2540B"/>
    <w:rsid w:val="00C45ED4"/>
    <w:rsid w:val="00C51EB4"/>
    <w:rsid w:val="00C54574"/>
    <w:rsid w:val="00C6630D"/>
    <w:rsid w:val="00C67B62"/>
    <w:rsid w:val="00CA052B"/>
    <w:rsid w:val="00CA3F03"/>
    <w:rsid w:val="00CA601E"/>
    <w:rsid w:val="00CB0F3F"/>
    <w:rsid w:val="00CB1772"/>
    <w:rsid w:val="00CD17EB"/>
    <w:rsid w:val="00CE0E45"/>
    <w:rsid w:val="00CE0F4C"/>
    <w:rsid w:val="00CE6FA1"/>
    <w:rsid w:val="00D25C87"/>
    <w:rsid w:val="00D40ADE"/>
    <w:rsid w:val="00D550A9"/>
    <w:rsid w:val="00D61C18"/>
    <w:rsid w:val="00D64D04"/>
    <w:rsid w:val="00D73098"/>
    <w:rsid w:val="00D731E7"/>
    <w:rsid w:val="00D8182A"/>
    <w:rsid w:val="00DA7332"/>
    <w:rsid w:val="00DC062D"/>
    <w:rsid w:val="00DD176C"/>
    <w:rsid w:val="00DE204D"/>
    <w:rsid w:val="00E724B5"/>
    <w:rsid w:val="00E75E83"/>
    <w:rsid w:val="00E77C5B"/>
    <w:rsid w:val="00E82AD9"/>
    <w:rsid w:val="00EA0DED"/>
    <w:rsid w:val="00EA1BDE"/>
    <w:rsid w:val="00EC27BE"/>
    <w:rsid w:val="00EC3028"/>
    <w:rsid w:val="00EC5A51"/>
    <w:rsid w:val="00EE3C41"/>
    <w:rsid w:val="00EE42F7"/>
    <w:rsid w:val="00EE5DAF"/>
    <w:rsid w:val="00F011D0"/>
    <w:rsid w:val="00F0790B"/>
    <w:rsid w:val="00F1607D"/>
    <w:rsid w:val="00F21D9D"/>
    <w:rsid w:val="00F3099D"/>
    <w:rsid w:val="00F60AD8"/>
    <w:rsid w:val="00F6296E"/>
    <w:rsid w:val="00F6396E"/>
    <w:rsid w:val="00F67E2F"/>
    <w:rsid w:val="00F92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6813E"/>
  <w15:chartTrackingRefBased/>
  <w15:docId w15:val="{DE561C62-CB49-44E5-8EAB-B4A05FED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0E45"/>
    <w:pPr>
      <w:spacing w:after="0" w:line="240" w:lineRule="auto"/>
    </w:pPr>
    <w:rPr>
      <w:rFonts w:ascii="Times New Roman" w:eastAsia="Times New Roman" w:hAnsi="Times New Roman" w:cs="Times New Roman"/>
      <w:sz w:val="20"/>
      <w:szCs w:val="24"/>
    </w:rPr>
  </w:style>
  <w:style w:type="paragraph" w:styleId="Rubrik1">
    <w:name w:val="heading 1"/>
    <w:basedOn w:val="Normal"/>
    <w:next w:val="Brdtext"/>
    <w:link w:val="Rubrik1Char"/>
    <w:qFormat/>
    <w:rsid w:val="00CE0E45"/>
    <w:pPr>
      <w:keepNext/>
      <w:pBdr>
        <w:bottom w:val="single" w:sz="4" w:space="1" w:color="auto"/>
      </w:pBdr>
      <w:spacing w:before="240" w:after="240"/>
      <w:outlineLvl w:val="0"/>
    </w:pPr>
    <w:rPr>
      <w:rFonts w:ascii="Arial" w:hAnsi="Arial" w:cs="Arial"/>
      <w:bCs/>
      <w:kern w:val="32"/>
      <w:sz w:val="36"/>
      <w:szCs w:val="32"/>
    </w:rPr>
  </w:style>
  <w:style w:type="paragraph" w:styleId="Rubrik3">
    <w:name w:val="heading 3"/>
    <w:basedOn w:val="Normal"/>
    <w:next w:val="Brdtext"/>
    <w:link w:val="Rubrik3Char"/>
    <w:qFormat/>
    <w:rsid w:val="00CE0E45"/>
    <w:pPr>
      <w:keepNext/>
      <w:tabs>
        <w:tab w:val="left" w:pos="567"/>
      </w:tabs>
      <w:spacing w:before="240" w:after="60"/>
      <w:outlineLvl w:val="2"/>
    </w:pPr>
    <w:rPr>
      <w:rFonts w:ascii="Arial" w:hAnsi="Arial" w:cs="Arial"/>
      <w:b/>
      <w:bCs/>
      <w:sz w:val="24"/>
      <w:szCs w:val="26"/>
    </w:rPr>
  </w:style>
  <w:style w:type="paragraph" w:styleId="Rubrik4">
    <w:name w:val="heading 4"/>
    <w:basedOn w:val="Normal"/>
    <w:next w:val="Brdtext"/>
    <w:link w:val="Rubrik4Char"/>
    <w:qFormat/>
    <w:rsid w:val="00CE0E45"/>
    <w:pPr>
      <w:keepNext/>
      <w:spacing w:before="200" w:after="120"/>
      <w:ind w:left="567"/>
      <w:outlineLvl w:val="3"/>
    </w:pPr>
    <w:rPr>
      <w:rFonts w:ascii="Arial" w:hAnsi="Arial"/>
      <w:szCs w:val="20"/>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E0E45"/>
    <w:rPr>
      <w:rFonts w:ascii="Arial" w:eastAsia="Times New Roman" w:hAnsi="Arial" w:cs="Arial"/>
      <w:bCs/>
      <w:kern w:val="32"/>
      <w:sz w:val="36"/>
      <w:szCs w:val="32"/>
    </w:rPr>
  </w:style>
  <w:style w:type="character" w:customStyle="1" w:styleId="Rubrik3Char">
    <w:name w:val="Rubrik 3 Char"/>
    <w:basedOn w:val="Standardstycketeckensnitt"/>
    <w:link w:val="Rubrik3"/>
    <w:rsid w:val="00CE0E45"/>
    <w:rPr>
      <w:rFonts w:ascii="Arial" w:eastAsia="Times New Roman" w:hAnsi="Arial" w:cs="Arial"/>
      <w:b/>
      <w:bCs/>
      <w:sz w:val="24"/>
      <w:szCs w:val="26"/>
    </w:rPr>
  </w:style>
  <w:style w:type="character" w:customStyle="1" w:styleId="Rubrik4Char">
    <w:name w:val="Rubrik 4 Char"/>
    <w:basedOn w:val="Standardstycketeckensnitt"/>
    <w:link w:val="Rubrik4"/>
    <w:rsid w:val="00CE0E45"/>
    <w:rPr>
      <w:rFonts w:ascii="Arial" w:eastAsia="Times New Roman" w:hAnsi="Arial" w:cs="Times New Roman"/>
      <w:sz w:val="20"/>
      <w:szCs w:val="20"/>
      <w:u w:val="single"/>
      <w:lang w:eastAsia="sv-SE"/>
    </w:rPr>
  </w:style>
  <w:style w:type="paragraph" w:customStyle="1" w:styleId="KSLNormal">
    <w:name w:val="KSL Normal"/>
    <w:link w:val="KSLNormalChar"/>
    <w:rsid w:val="00CE0E45"/>
    <w:pPr>
      <w:spacing w:before="40" w:after="0" w:line="240" w:lineRule="auto"/>
      <w:ind w:left="851"/>
    </w:pPr>
    <w:rPr>
      <w:rFonts w:ascii="Times New Roman" w:eastAsia="Times New Roman" w:hAnsi="Times New Roman" w:cs="Times New Roman"/>
      <w:szCs w:val="20"/>
    </w:rPr>
  </w:style>
  <w:style w:type="paragraph" w:customStyle="1" w:styleId="KSLsidfot">
    <w:name w:val="KSL sidfot"/>
    <w:basedOn w:val="KSLNormal"/>
    <w:rsid w:val="00CE0E45"/>
    <w:pPr>
      <w:ind w:left="-1418"/>
    </w:pPr>
    <w:rPr>
      <w:rFonts w:ascii="Arial" w:hAnsi="Arial"/>
      <w:sz w:val="16"/>
    </w:rPr>
  </w:style>
  <w:style w:type="character" w:styleId="Hyperlnk">
    <w:name w:val="Hyperlink"/>
    <w:basedOn w:val="Standardstycketeckensnitt"/>
    <w:uiPriority w:val="99"/>
    <w:rsid w:val="00CE0E45"/>
    <w:rPr>
      <w:color w:val="0000FF"/>
      <w:u w:val="single"/>
    </w:rPr>
  </w:style>
  <w:style w:type="paragraph" w:styleId="Brdtext">
    <w:name w:val="Body Text"/>
    <w:basedOn w:val="Normal"/>
    <w:link w:val="BrdtextChar"/>
    <w:qFormat/>
    <w:rsid w:val="00CE0E45"/>
    <w:pPr>
      <w:spacing w:before="80"/>
      <w:ind w:left="567"/>
    </w:pPr>
    <w:rPr>
      <w:szCs w:val="72"/>
      <w:lang w:eastAsia="sv-SE"/>
    </w:rPr>
  </w:style>
  <w:style w:type="character" w:customStyle="1" w:styleId="BrdtextChar">
    <w:name w:val="Brödtext Char"/>
    <w:basedOn w:val="Standardstycketeckensnitt"/>
    <w:link w:val="Brdtext"/>
    <w:rsid w:val="00CE0E45"/>
    <w:rPr>
      <w:rFonts w:ascii="Times New Roman" w:eastAsia="Times New Roman" w:hAnsi="Times New Roman" w:cs="Times New Roman"/>
      <w:sz w:val="20"/>
      <w:szCs w:val="72"/>
      <w:lang w:eastAsia="sv-SE"/>
    </w:rPr>
  </w:style>
  <w:style w:type="character" w:customStyle="1" w:styleId="KSLNormalChar">
    <w:name w:val="KSL Normal Char"/>
    <w:basedOn w:val="Standardstycketeckensnitt"/>
    <w:link w:val="KSLNormal"/>
    <w:rsid w:val="00CE0E45"/>
    <w:rPr>
      <w:rFonts w:ascii="Times New Roman" w:eastAsia="Times New Roman" w:hAnsi="Times New Roman" w:cs="Times New Roman"/>
      <w:szCs w:val="20"/>
    </w:rPr>
  </w:style>
  <w:style w:type="paragraph" w:customStyle="1" w:styleId="brdpunkter">
    <w:name w:val="bröd punkter"/>
    <w:basedOn w:val="Brdtext"/>
    <w:link w:val="brdpunkterChar"/>
    <w:qFormat/>
    <w:rsid w:val="00CE0E45"/>
    <w:pPr>
      <w:numPr>
        <w:numId w:val="1"/>
      </w:numPr>
      <w:tabs>
        <w:tab w:val="left" w:pos="851"/>
      </w:tabs>
      <w:ind w:left="851" w:hanging="142"/>
    </w:pPr>
  </w:style>
  <w:style w:type="character" w:customStyle="1" w:styleId="brdpunkterChar">
    <w:name w:val="bröd punkter Char"/>
    <w:basedOn w:val="BrdtextChar"/>
    <w:link w:val="brdpunkter"/>
    <w:rsid w:val="00CE0E45"/>
    <w:rPr>
      <w:rFonts w:ascii="Times New Roman" w:eastAsia="Times New Roman" w:hAnsi="Times New Roman" w:cs="Times New Roman"/>
      <w:sz w:val="20"/>
      <w:szCs w:val="72"/>
      <w:lang w:eastAsia="sv-SE"/>
    </w:rPr>
  </w:style>
  <w:style w:type="character" w:styleId="Diskretbetoning">
    <w:name w:val="Subtle Emphasis"/>
    <w:basedOn w:val="Standardstycketeckensnitt"/>
    <w:uiPriority w:val="19"/>
    <w:qFormat/>
    <w:rsid w:val="00CE0E45"/>
    <w:rPr>
      <w:i/>
      <w:iCs/>
      <w:color w:val="808080" w:themeColor="text1" w:themeTint="7F"/>
      <w:szCs w:val="20"/>
    </w:rPr>
  </w:style>
  <w:style w:type="paragraph" w:customStyle="1" w:styleId="Nyckeltal">
    <w:name w:val="Nyckeltal"/>
    <w:basedOn w:val="Normal"/>
    <w:link w:val="NyckeltalChar"/>
    <w:qFormat/>
    <w:rsid w:val="00CE0E45"/>
    <w:pPr>
      <w:keepNext/>
      <w:numPr>
        <w:numId w:val="2"/>
      </w:numPr>
      <w:tabs>
        <w:tab w:val="left" w:pos="567"/>
      </w:tabs>
      <w:spacing w:before="240" w:after="60"/>
      <w:ind w:left="567" w:right="284" w:hanging="567"/>
    </w:pPr>
    <w:rPr>
      <w:rFonts w:ascii="Arial" w:hAnsi="Arial" w:cs="Arial"/>
      <w:b/>
      <w:sz w:val="24"/>
    </w:rPr>
  </w:style>
  <w:style w:type="character" w:customStyle="1" w:styleId="NyckeltalChar">
    <w:name w:val="Nyckeltal Char"/>
    <w:basedOn w:val="Standardstycketeckensnitt"/>
    <w:link w:val="Nyckeltal"/>
    <w:rsid w:val="00CE0E45"/>
    <w:rPr>
      <w:rFonts w:ascii="Arial" w:eastAsia="Times New Roman" w:hAnsi="Arial" w:cs="Arial"/>
      <w:b/>
      <w:sz w:val="24"/>
      <w:szCs w:val="24"/>
    </w:rPr>
  </w:style>
  <w:style w:type="paragraph" w:styleId="Ballongtext">
    <w:name w:val="Balloon Text"/>
    <w:basedOn w:val="Normal"/>
    <w:link w:val="BallongtextChar"/>
    <w:uiPriority w:val="99"/>
    <w:semiHidden/>
    <w:unhideWhenUsed/>
    <w:rsid w:val="00C51E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1EB4"/>
    <w:rPr>
      <w:rFonts w:ascii="Segoe UI" w:eastAsia="Times New Roman" w:hAnsi="Segoe UI" w:cs="Segoe UI"/>
      <w:sz w:val="18"/>
      <w:szCs w:val="18"/>
    </w:rPr>
  </w:style>
  <w:style w:type="paragraph" w:styleId="Sidhuvud">
    <w:name w:val="header"/>
    <w:basedOn w:val="Normal"/>
    <w:link w:val="SidhuvudChar"/>
    <w:uiPriority w:val="99"/>
    <w:unhideWhenUsed/>
    <w:rsid w:val="00E724B5"/>
    <w:pPr>
      <w:tabs>
        <w:tab w:val="center" w:pos="4536"/>
        <w:tab w:val="right" w:pos="9072"/>
      </w:tabs>
    </w:pPr>
  </w:style>
  <w:style w:type="character" w:customStyle="1" w:styleId="SidhuvudChar">
    <w:name w:val="Sidhuvud Char"/>
    <w:basedOn w:val="Standardstycketeckensnitt"/>
    <w:link w:val="Sidhuvud"/>
    <w:uiPriority w:val="99"/>
    <w:rsid w:val="00E724B5"/>
    <w:rPr>
      <w:rFonts w:ascii="Times New Roman" w:eastAsia="Times New Roman" w:hAnsi="Times New Roman" w:cs="Times New Roman"/>
      <w:sz w:val="20"/>
      <w:szCs w:val="24"/>
    </w:rPr>
  </w:style>
  <w:style w:type="paragraph" w:customStyle="1" w:styleId="Default">
    <w:name w:val="Default"/>
    <w:rsid w:val="001D2250"/>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1D2250"/>
    <w:pPr>
      <w:ind w:left="720"/>
      <w:contextualSpacing/>
    </w:pPr>
  </w:style>
  <w:style w:type="character" w:styleId="AnvndHyperlnk">
    <w:name w:val="FollowedHyperlink"/>
    <w:basedOn w:val="Standardstycketeckensnitt"/>
    <w:uiPriority w:val="99"/>
    <w:semiHidden/>
    <w:unhideWhenUsed/>
    <w:rsid w:val="00CD1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ljosamverkan.internal.miljobarometern.se/service/log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ljobarometern.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m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sl.miljobarometern.se/nyckeltal-for-miljokontoren-i-stockholms-la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151806AEB2347AF4C8BBDEF23AA67" ma:contentTypeVersion="13" ma:contentTypeDescription="Skapa ett nytt dokument." ma:contentTypeScope="" ma:versionID="16e6980717209f8b2e6bce4e3a179052">
  <xsd:schema xmlns:xsd="http://www.w3.org/2001/XMLSchema" xmlns:xs="http://www.w3.org/2001/XMLSchema" xmlns:p="http://schemas.microsoft.com/office/2006/metadata/properties" xmlns:ns3="741cbc45-30bf-4a43-8630-38260d0b9019" xmlns:ns4="5fa2bd80-b21d-4b4f-b09c-bc6bba12fb83" targetNamespace="http://schemas.microsoft.com/office/2006/metadata/properties" ma:root="true" ma:fieldsID="08daadd6d5fa16e3e7a51729976bf0eb" ns3:_="" ns4:_="">
    <xsd:import namespace="741cbc45-30bf-4a43-8630-38260d0b9019"/>
    <xsd:import namespace="5fa2bd80-b21d-4b4f-b09c-bc6bba12f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bc45-30bf-4a43-8630-38260d0b901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2bd80-b21d-4b4f-b09c-bc6bba12fb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BB3E0-28E5-436B-9FF4-E031378A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bc45-30bf-4a43-8630-38260d0b9019"/>
    <ds:schemaRef ds:uri="5fa2bd80-b21d-4b4f-b09c-bc6bba12f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52A16-1156-4E1B-96E2-0C0EBF3234E3}">
  <ds:schemaRefs>
    <ds:schemaRef ds:uri="http://schemas.microsoft.com/sharepoint/v3/contenttype/forms"/>
  </ds:schemaRefs>
</ds:datastoreItem>
</file>

<file path=customXml/itemProps3.xml><?xml version="1.0" encoding="utf-8"?>
<ds:datastoreItem xmlns:ds="http://schemas.openxmlformats.org/officeDocument/2006/customXml" ds:itemID="{E1E6F91C-7F93-405E-A28B-AC491E498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9099</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Malmer Annica</dc:creator>
  <cp:keywords/>
  <dc:description/>
  <cp:lastModifiedBy>Johanna Edestav</cp:lastModifiedBy>
  <cp:revision>2</cp:revision>
  <cp:lastPrinted>2020-02-18T07:45:00Z</cp:lastPrinted>
  <dcterms:created xsi:type="dcterms:W3CDTF">2020-05-27T13:38:00Z</dcterms:created>
  <dcterms:modified xsi:type="dcterms:W3CDTF">2020-05-27T13:38:00Z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0x0101006DA151806AEB2347AF4C8BBDEF23AA67</vt:lpwstr>
  </property>
</Properties>
</file>