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>
      <w:pPr>
        <w:pStyle w:val="MbIndicatorCommentCaption"/>
      </w:pPr>
    </w:p>
    <w:p>
      <w:pPr>
        <w:pStyle w:val="MbTitle"/>
      </w:pPr>
      <w:r>
        <w:t>Nyckeltal för miljökontoren i Stockholms län</w:t>
      </w:r>
    </w:p>
    <w:p>
      <w:pPr>
        <w:pStyle w:val="Rubrik3"/>
      </w:pPr>
      <w:r>
        <w:t>Nyckeltal MSL.1</w:t>
      </w:r>
    </w:p>
    <w:p>
      <w:pPr>
        <w:pStyle w:val="MbIndicatorNameEx"/>
      </w:pPr>
      <w:r>
        <w:t>Timtaxa miljöbalkstillsyn</w:t>
      </w:r>
    </w:p>
    <w:p>
      <w:pPr>
        <w:pStyle w:val="MbIndicatorGraph"/>
      </w:pPr>
      <w:r>
        <w:drawing>
          <wp:inline>
            <wp:extent cx="5238096" cy="1476191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Picture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timtaxan inom miljöbalkstillsyn.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Reviderades 230921</w:t>
      </w:r>
    </w:p>
    <w:p>
      <w:pPr>
        <w:pStyle w:val="Rubrik3"/>
      </w:pPr>
      <w:r>
        <w:t>Nyckeltal MSL.2</w:t>
      </w:r>
    </w:p>
    <w:p>
      <w:pPr>
        <w:pStyle w:val="MbIndicatorNameEx"/>
      </w:pPr>
      <w:r>
        <w:t>Timtaxa livsmedelskontroll</w:t>
      </w:r>
    </w:p>
    <w:p>
      <w:pPr>
        <w:pStyle w:val="MbIndicatorGraph"/>
      </w:pPr>
      <w:r>
        <w:drawing>
          <wp:inline>
            <wp:extent cx="5238096" cy="1476191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PictureId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timtaxan inom livsmedelskontrollen.</w:t>
      </w:r>
      <w:r>
        <w:br/>
      </w:r>
      <w:r>
        <w:t>Kommuner som har differentierad taxa har angivit detta under Kommentar.</w:t>
      </w:r>
    </w:p>
    <w:p>
      <w:pPr>
        <w:pStyle w:val="Rubrik3"/>
      </w:pPr>
      <w:r>
        <w:t>Nyckeltal MSL.3</w:t>
      </w:r>
    </w:p>
    <w:p>
      <w:pPr>
        <w:pStyle w:val="MbIndicatorNameEx"/>
      </w:pPr>
      <w:r>
        <w:t>Inspektörer för miljöbalkstillsyn, årsarbetskrafter</w:t>
      </w:r>
    </w:p>
    <w:p>
      <w:pPr>
        <w:pStyle w:val="MbIndicatorGraph"/>
      </w:pPr>
      <w:r>
        <w:drawing>
          <wp:inline>
            <wp:extent cx="5238096" cy="1476191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PictureId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antal årsarbetskrafter (antal anställda personer omräknat till heltidsarbeten) som ägnats åt miljöbalkstillsyn.</w:t>
      </w:r>
    </w:p>
    <w:p>
      <w:pPr>
        <w:pStyle w:val="Rubrik3"/>
      </w:pPr>
      <w:r>
        <w:t>Nyckeltal MSL.3b</w:t>
      </w:r>
    </w:p>
    <w:p>
      <w:pPr>
        <w:pStyle w:val="MbIndicatorNameEx"/>
      </w:pPr>
      <w:r>
        <w:t>Inspektörer för miljöbalkstillsyn, årsarbetskrafter per 10 000 invånare</w:t>
      </w:r>
    </w:p>
    <w:p>
      <w:pPr>
        <w:pStyle w:val="MbIndicatorGraph"/>
      </w:pPr>
      <w:r>
        <w:drawing>
          <wp:inline>
            <wp:extent cx="5238096" cy="1476191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Picture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miljökontorets tillsynsverksamhet i förhållande till antalet invånare i kommunen eller verksamhetsområdet.</w:t>
      </w:r>
    </w:p>
    <w:p>
      <w:pPr>
        <w:pStyle w:val="Rubrik3"/>
      </w:pPr>
      <w:r>
        <w:t>Nyckeltal MSL.4</w:t>
      </w:r>
    </w:p>
    <w:p>
      <w:pPr>
        <w:pStyle w:val="MbIndicatorNameEx"/>
      </w:pPr>
      <w:r>
        <w:t>Inspektörer för livsmedelskontroll, årsarbetskrafter</w:t>
      </w:r>
    </w:p>
    <w:p>
      <w:pPr>
        <w:pStyle w:val="MbIndicatorGraph"/>
      </w:pPr>
      <w:r>
        <w:drawing>
          <wp:inline>
            <wp:extent cx="5238096" cy="1476191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Picture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antal årsarbetskrafter (antal anställda personer omräknat till heltidsarbeten) som ägnats åt livsmedelskontroll.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Beräknat utifrån BoP lönemodul prognos för utfall 2021</w:t>
      </w:r>
    </w:p>
    <w:p>
      <w:pPr>
        <w:pStyle w:val="Rubrik3"/>
      </w:pPr>
      <w:r>
        <w:t>Nyckeltal MSL.4b</w:t>
      </w:r>
    </w:p>
    <w:p>
      <w:pPr>
        <w:pStyle w:val="MbIndicatorNameEx"/>
      </w:pPr>
      <w:r>
        <w:t>Inspektörer för livsmedelskontroll, årsarbetskrafter per 10 000 invånare</w:t>
      </w:r>
    </w:p>
    <w:p>
      <w:pPr>
        <w:pStyle w:val="MbIndicatorGraph"/>
      </w:pPr>
      <w:r>
        <w:drawing>
          <wp:inline>
            <wp:extent cx="5238096" cy="1476191"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Picture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miljökontorets tillsynsverksamhet i förhållande till antalet invånare i kommunen eller verksamhetsområdet.</w:t>
      </w:r>
    </w:p>
    <w:p>
      <w:pPr>
        <w:pStyle w:val="Rubrik3"/>
      </w:pPr>
      <w:r>
        <w:t>Nyckeltal MSL.5</w:t>
      </w:r>
    </w:p>
    <w:p>
      <w:pPr>
        <w:pStyle w:val="MbIndicatorNameEx"/>
      </w:pPr>
      <w:r>
        <w:t>Månadslön för tillsynspersonal</w:t>
      </w:r>
    </w:p>
    <w:p>
      <w:pPr>
        <w:pStyle w:val="MbIndicatorGraph"/>
      </w:pPr>
      <w:r>
        <w:drawing>
          <wp:inline>
            <wp:extent cx="5238096" cy="1476191"/>
            <wp:docPr id="13" name="Pictu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Picture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medianmånadslön för tillsynspersonal (inspektörer och intendenter). Lön efter revision.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2022: Lönespannet ligger mellan 34000 och 45000 kr för tillsynspersonal, medianvärdet är 39000kr</w:t>
      </w:r>
      <w:r>
        <w:br/>
      </w:r>
      <w:r>
        <w:t>2023: Lönespannet ligger mellan 35900 och 45600 kr för tillsynspersonal, medianvärdet är 40950kr. Serveringstillstånds- och tobaksinspektörer ej medräknade. Om dessa räknas med är medianvärdet istället 41350kr</w:t>
      </w:r>
    </w:p>
    <w:p>
      <w:pPr>
        <w:pStyle w:val="Rubrik3"/>
      </w:pPr>
      <w:r>
        <w:t>Nyckeltal MSL.5b</w:t>
      </w:r>
    </w:p>
    <w:p>
      <w:pPr>
        <w:pStyle w:val="MbIndicatorNameEx"/>
      </w:pPr>
      <w:r>
        <w:t xml:space="preserve">Snittålder för anställd tillsynspersonal per 31 december (inspektörer och intendenter). </w:t>
      </w:r>
    </w:p>
    <w:p>
      <w:pPr>
        <w:pStyle w:val="MbIndicatorGraph"/>
      </w:pPr>
      <w:r>
        <w:drawing>
          <wp:inline>
            <wp:extent cx="5238096" cy="1476191"/>
            <wp:docPr id="15" name="Pictu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Picture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Snittålder för anställd tillsynspersonal per 31 december.</w:t>
      </w:r>
    </w:p>
    <w:p>
      <w:pPr>
        <w:pStyle w:val="Rubrik3"/>
      </w:pPr>
      <w:r>
        <w:t>Nyckeltal MSL.6</w:t>
      </w:r>
    </w:p>
    <w:p>
      <w:pPr>
        <w:pStyle w:val="MbIndicatorNameEx"/>
      </w:pPr>
      <w:r>
        <w:t>Intäkt för miljöbalkstillsyn, per årsarbetskraft</w:t>
      </w:r>
    </w:p>
    <w:p>
      <w:pPr>
        <w:pStyle w:val="MbIndicatorGraph"/>
      </w:pPr>
      <w:r>
        <w:drawing>
          <wp:inline>
            <wp:extent cx="5238096" cy="1476191"/>
            <wp:docPr id="17" name="Pictu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Picture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total tillsynsintäkt inom miljöbalkstillsyn, per årsarbetskraft.</w:t>
      </w:r>
      <w:r>
        <w:br/>
      </w:r>
      <w:r>
        <w:t>Med årsarbetskraft menas antal anställda personer omräknat till heltidsarbeten.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2021 ÅA 9,95 (2436000/9,95)=244 824 kr</w:t>
      </w:r>
      <w:r>
        <w:br/>
      </w:r>
      <w:r>
        <w:t>2018 räknat på ÅA 8,15</w:t>
      </w:r>
      <w:r>
        <w:br/>
      </w:r>
      <w:r>
        <w:t>2019 räknat på ÅA 8,5 (3 857 673/8,5)=453 844kr</w:t>
      </w:r>
    </w:p>
    <w:p>
      <w:pPr>
        <w:pStyle w:val="MbIndicatorComment"/>
      </w:pPr>
      <w:r>
        <w:t>2020 räknat på ÅA8,3 (3 294 150/8,3)=396 885kr</w:t>
      </w:r>
      <w:r>
        <w:br/>
      </w:r>
      <w:r>
        <w:t>2022 räknat på ÅA 10,2 (7 608 000/10,2)= 745 882kr</w:t>
      </w:r>
    </w:p>
    <w:p>
      <w:pPr>
        <w:pStyle w:val="Rubrik3"/>
      </w:pPr>
      <w:r>
        <w:t>Nyckeltal MSL.7</w:t>
      </w:r>
    </w:p>
    <w:p>
      <w:pPr>
        <w:pStyle w:val="MbIndicatorNameEx"/>
      </w:pPr>
      <w:r>
        <w:t>Intäkt för livsmedelskontroll, per årsarbetskraft</w:t>
      </w:r>
    </w:p>
    <w:p>
      <w:pPr>
        <w:pStyle w:val="MbIndicatorGraph"/>
      </w:pPr>
      <w:r>
        <w:drawing>
          <wp:inline>
            <wp:extent cx="5238096" cy="1476191"/>
            <wp:docPr id="19" name="Pictu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Picture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total tillsynsintäkt inom livsmedelskontrollen, per årsarbetskraft.</w:t>
      </w:r>
      <w:r>
        <w:br/>
      </w:r>
      <w:r>
        <w:t>Med årsarbetskraft menas antal anställda personer omräknat till heltidsarbeten.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år 2021: Intäkter/ÅA= 2 791 000/5,66=493 110</w:t>
      </w:r>
    </w:p>
    <w:p>
      <w:pPr>
        <w:pStyle w:val="MbIndicatorComment"/>
      </w:pPr>
      <w:r>
        <w:t>Livsmedel ÅA: 3,3</w:t>
      </w:r>
      <w:r>
        <w:br/>
      </w:r>
      <w:r>
        <w:t>1 677 850/3,3=508 439 kr</w:t>
      </w:r>
    </w:p>
    <w:p>
      <w:pPr>
        <w:pStyle w:val="MbIndicatorComment"/>
      </w:pPr>
      <w:r>
        <w:t>2020 ÅA 2,8</w:t>
      </w:r>
      <w:r>
        <w:br/>
      </w:r>
      <w:r>
        <w:t>2 990 780kr/2,8=1068135</w:t>
      </w:r>
    </w:p>
    <w:p>
      <w:pPr>
        <w:pStyle w:val="MbIndicatorComment"/>
      </w:pPr>
      <w:r>
        <w:t>2022 ÅA 4,83:</w:t>
      </w:r>
      <w:r>
        <w:br/>
      </w:r>
      <w:r>
        <w:t>2 537 000/4,83=525 258</w:t>
      </w:r>
    </w:p>
    <w:p>
      <w:pPr>
        <w:pStyle w:val="Rubrik3"/>
      </w:pPr>
      <w:r>
        <w:t>Nyckeltal MSL.8</w:t>
      </w:r>
    </w:p>
    <w:p>
      <w:pPr>
        <w:pStyle w:val="MbIndicatorNameEx"/>
      </w:pPr>
      <w:r>
        <w:t>Debiterade timmar miljöbalkstillsyn, per årsarbetskraft</w:t>
      </w:r>
    </w:p>
    <w:p>
      <w:pPr>
        <w:pStyle w:val="MbIndicatorGraph"/>
      </w:pPr>
      <w:r>
        <w:drawing>
          <wp:inline>
            <wp:extent cx="5238096" cy="1476191"/>
            <wp:docPr id="21" name="Pictu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Picture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faktiskt debiterade timmar för miljöbalkstillsyn, per årsarbetare.</w:t>
      </w:r>
    </w:p>
    <w:p>
      <w:pPr>
        <w:pStyle w:val="Rubrik3"/>
      </w:pPr>
      <w:r>
        <w:t>Nyckeltal MSL.9</w:t>
      </w:r>
    </w:p>
    <w:p>
      <w:pPr>
        <w:pStyle w:val="MbIndicatorNameEx"/>
      </w:pPr>
      <w:r>
        <w:t>Debiterade timmar per livsmedelskontroll, per årsarbetskraft</w:t>
      </w:r>
    </w:p>
    <w:p>
      <w:pPr>
        <w:pStyle w:val="MbIndicatorGraph"/>
      </w:pPr>
      <w:r>
        <w:drawing>
          <wp:inline>
            <wp:extent cx="5238096" cy="1476191"/>
            <wp:docPr id="23" name="Pictur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Picture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faktiskt debiterade timmar för livsmedelskontroll, per årsarbetskraft.</w:t>
      </w:r>
    </w:p>
    <w:p>
      <w:pPr>
        <w:pStyle w:val="Rubrik3"/>
      </w:pPr>
      <w:r>
        <w:t>Nyckeltal MSL.10</w:t>
      </w:r>
    </w:p>
    <w:p>
      <w:pPr>
        <w:pStyle w:val="MbIndicatorNameEx"/>
      </w:pPr>
      <w:r>
        <w:t>Självfinansieringsgrad miljöbalkstillsyn</w:t>
      </w:r>
    </w:p>
    <w:p>
      <w:pPr>
        <w:pStyle w:val="MbIndicatorGraph"/>
      </w:pPr>
      <w:r>
        <w:drawing>
          <wp:inline>
            <wp:extent cx="5238096" cy="1476191"/>
            <wp:docPr id="25" name="Pictu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Picture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hur stor andel av miljöbalkstillsynen som är intäktsfinansierad samt är underlag för verksamhetsutveckling.</w:t>
      </w:r>
      <w:r>
        <w:br/>
      </w:r>
      <w:r>
        <w:t>Självfinansieringsgraden påverkas av många olika faktorer såsom omorganisation av verksamheten, personalens sjukfrånvaro, ändrade definitioner av nyckeltalet samt nivån på timtaxa. Undvik därför jämförelse mellan miljökontor.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Kostnader 2022: 6 271 176</w:t>
      </w:r>
      <w:r>
        <w:br/>
      </w:r>
      <w:r>
        <w:t>Intäkter: 4 511 000</w:t>
      </w:r>
      <w:r>
        <w:br/>
      </w:r>
      <w:r>
        <w:t>Använd koderna ansv 181310 vhet 26110-26120 Aktivitet 88010-88040, 88210-88212. Då blir intäkterna 4 511 000. Självfinansieringsgraden är då 4 511 000 / 6 271 176=71,9%</w:t>
      </w:r>
    </w:p>
    <w:p>
      <w:pPr>
        <w:pStyle w:val="MbIndicatorComment"/>
      </w:pPr>
      <w:r>
        <w:t>Intäkter 2021: 2 436 000</w:t>
      </w:r>
      <w:r>
        <w:br/>
      </w:r>
      <w:r>
        <w:t>Kostander 2021: 10 134 500</w:t>
      </w:r>
      <w:r>
        <w:br/>
      </w:r>
      <w:r>
        <w:t>Självfinansiering 2436000/10134500=24%</w:t>
      </w:r>
    </w:p>
    <w:p>
      <w:pPr>
        <w:pStyle w:val="MbIndicatorComment"/>
      </w:pPr>
      <w:r>
        <w:t>Intäkter 2019: 3 857 673</w:t>
      </w:r>
      <w:r>
        <w:br/>
      </w:r>
      <w:r>
        <w:t>Kostnader 2019: 9 708 949 (från taxan)</w:t>
      </w:r>
      <w:r>
        <w:br/>
      </w:r>
      <w:r>
        <w:t>Kostnadstäckning: 3 857 673/9 708 949=39%</w:t>
      </w:r>
    </w:p>
    <w:p>
      <w:pPr>
        <w:pStyle w:val="MbIndicatorComment"/>
      </w:pPr>
      <w:r>
        <w:t>Intäkter 2020: verksamheter 26110-26120: 3 767 219</w:t>
      </w:r>
      <w:r>
        <w:br/>
      </w:r>
      <w:r>
        <w:t>Kostnader 2020: verksamheter 26110-26120 enligt exceldok fin.gr.: 12 350 693</w:t>
      </w:r>
      <w:r>
        <w:br/>
      </w:r>
      <w:r>
        <w:t>Självfinansieringsgrad: 3 767 219/12 350 693=30%</w:t>
      </w:r>
    </w:p>
    <w:p>
      <w:pPr>
        <w:pStyle w:val="Rubrik3"/>
      </w:pPr>
      <w:r>
        <w:t>Nyckeltal MSL.11</w:t>
      </w:r>
    </w:p>
    <w:p>
      <w:pPr>
        <w:pStyle w:val="MbIndicatorNameEx"/>
      </w:pPr>
      <w:r>
        <w:t>Självfinansieringsgrad livsmedelskontroll</w:t>
      </w:r>
    </w:p>
    <w:p>
      <w:pPr>
        <w:pStyle w:val="MbIndicatorGraph"/>
      </w:pPr>
      <w:r>
        <w:drawing>
          <wp:inline>
            <wp:extent cx="5238096" cy="1476191"/>
            <wp:docPr id="27" name="Pictur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Picture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förhållandet mellan tillsynsavgifter och kostnaden för att bedriva livsmedelskontroll.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Intäkter livsmedel år 2020: 2791000 kr</w:t>
      </w:r>
      <w:r>
        <w:br/>
      </w:r>
      <w:r>
        <w:t>Kostnader enligt taxadokument:5665900 kr</w:t>
      </w:r>
      <w:r>
        <w:br/>
      </w:r>
      <w:r>
        <w:t>Kostnadstäckning: 49%</w:t>
      </w:r>
    </w:p>
    <w:p>
      <w:pPr>
        <w:pStyle w:val="MbIndicatorComment"/>
      </w:pPr>
      <w:r>
        <w:t>Intäkter livsmedel år 2022 enligt ekonomisystem ansv 181320 vhet 26130 aktivitet 88310-88352: 2 528 700</w:t>
      </w:r>
      <w:r>
        <w:br/>
      </w:r>
      <w:r>
        <w:t>Kostnader enligt ekonomisystem ansvar 181320 vhet 26130: 4 409 115</w:t>
      </w:r>
      <w:r>
        <w:br/>
      </w:r>
      <w:r>
        <w:t>Kostnadstäckning: 57%</w:t>
      </w:r>
    </w:p>
    <w:p>
      <w:pPr>
        <w:pStyle w:val="Rubrik3"/>
      </w:pPr>
      <w:r>
        <w:t>Nyckeltal MSL.12</w:t>
      </w:r>
    </w:p>
    <w:p>
      <w:pPr>
        <w:pStyle w:val="MbIndicatorNameEx"/>
      </w:pPr>
      <w:r>
        <w:t>Antal tillsynstilfällen enligt miljöbalken/ årsarbetskraft</w:t>
      </w:r>
    </w:p>
    <w:p>
      <w:pPr>
        <w:pStyle w:val="MbIndicatorGraph"/>
      </w:pPr>
      <w:r>
        <w:drawing>
          <wp:inline>
            <wp:extent cx="5238096" cy="1476191"/>
            <wp:docPr id="29" name="Pictur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Picture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det totala antalet inspektioner och tillsynsbesök inom miljöbalkstillsyn, inklusive enskilda avlopp, per årsarbetskraft.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För 2018: 276 insp/8,15 ÅA = 33,86 avrundat 34.</w:t>
      </w:r>
    </w:p>
    <w:p>
      <w:pPr>
        <w:pStyle w:val="MbIndicatorComment"/>
      </w:pPr>
      <w:r>
        <w:t>För 2019: 287</w:t>
      </w:r>
    </w:p>
    <w:p>
      <w:pPr>
        <w:pStyle w:val="MbIndicatorComment"/>
      </w:pPr>
      <w:r>
        <w:t>2020: 310 st totalt. ca 37 per ÅA.</w:t>
      </w:r>
    </w:p>
    <w:p>
      <w:pPr>
        <w:pStyle w:val="Rubrik3"/>
      </w:pPr>
      <w:r>
        <w:t>Nyckeltal MSL.13</w:t>
      </w:r>
    </w:p>
    <w:p>
      <w:pPr>
        <w:pStyle w:val="MbIndicatorNameEx"/>
      </w:pPr>
      <w:r>
        <w:t>Antal kontrolltillfällen enligt livsmedelslagstiftningen/ årsarbetskraft</w:t>
      </w:r>
    </w:p>
    <w:p>
      <w:pPr>
        <w:pStyle w:val="MbIndicatorGraph"/>
      </w:pPr>
      <w:r>
        <w:drawing>
          <wp:inline>
            <wp:extent cx="5238096" cy="1476191"/>
            <wp:docPr id="31" name="Pictur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Picture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det totala antalet kontroller inom livsmedelskontrollen, per årsarbetskraft.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2022 års nyckeltal: Svårt att säga då vi inte markerar någonstans förutom i rapporten om det är en digital inspektion. 123 inspektioner/ÅA 595/4,83 (595 beräknat från castor, dubletter (återinspektioner på samma anläggning och datum som ordinarie inspektion) borttagna samt RASFF-uppföljning som brukar vara ett telefonsamtal)</w:t>
      </w:r>
    </w:p>
    <w:p>
      <w:pPr>
        <w:pStyle w:val="Rubrik3"/>
      </w:pPr>
      <w:r>
        <w:t>Nyckeltal MSL.14</w:t>
      </w:r>
    </w:p>
    <w:p>
      <w:pPr>
        <w:pStyle w:val="MbIndicatorNameEx"/>
      </w:pPr>
      <w:r>
        <w:t>Åtalsanmälningar</w:t>
      </w:r>
    </w:p>
    <w:p>
      <w:pPr>
        <w:pStyle w:val="MbIndicatorGraph"/>
      </w:pPr>
      <w:r>
        <w:drawing>
          <wp:inline>
            <wp:extent cx="5238096" cy="1476191"/>
            <wp:docPr id="33" name="Pictur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Picture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det antal åtalsanmälningar som respektive kommun gjort under året.</w:t>
      </w:r>
    </w:p>
    <w:p>
      <w:pPr>
        <w:pStyle w:val="Rubrik3"/>
      </w:pPr>
      <w:r>
        <w:t>Nyckeltal MSL.16</w:t>
      </w:r>
    </w:p>
    <w:p>
      <w:pPr>
        <w:pStyle w:val="MbIndicatorNameEx"/>
      </w:pPr>
      <w:r>
        <w:t>Antal anläggningar för livsmedelskontroll per årsarbetskraft</w:t>
      </w:r>
    </w:p>
    <w:p>
      <w:pPr>
        <w:pStyle w:val="MbIndicatorGraph"/>
      </w:pPr>
      <w:r>
        <w:drawing>
          <wp:inline>
            <wp:extent cx="5238096" cy="1476191"/>
            <wp:docPr id="35" name="Pictur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Picture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antalet registrerade anläggningar vid årets slut. Tillfälliga anläggningar ingår inte.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2023: 458 st anläggningar</w:t>
      </w:r>
    </w:p>
    <w:p>
      <w:pPr>
        <w:pStyle w:val="Rubrik3"/>
      </w:pPr>
      <w:r>
        <w:t>Nyckeltal MSL.17</w:t>
      </w:r>
    </w:p>
    <w:p>
      <w:pPr>
        <w:pStyle w:val="MbIndicatorNameEx"/>
      </w:pPr>
      <w:r>
        <w:t>Antal invånare i miljökontorets verksamhetsområde.</w:t>
      </w:r>
    </w:p>
    <w:p>
      <w:pPr>
        <w:pStyle w:val="MbIndicatorGraph"/>
      </w:pPr>
      <w:r>
        <w:drawing>
          <wp:inline>
            <wp:extent cx="5238096" cy="1476191"/>
            <wp:docPr id="37" name="Pictur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Picture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ataSource"/>
      </w:pPr>
      <w:r>
        <w:t>Datakälla: SCB</w:t>
      </w:r>
    </w:p>
    <w:p>
      <w:pPr>
        <w:pStyle w:val="MbIndicatorDescr"/>
      </w:pPr>
      <w:r>
        <w:t>Nyckeltalet visar antal invånare i kommunen respektive miljökontorets verksamhetsområde. Värdet används som beräkningsunderlag för nyckeltal 3b och 4b.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2019z scb dec 2019</w:t>
      </w:r>
    </w:p>
    <w:p>
      <w:pPr>
        <w:pStyle w:val="MbIndicatorComment"/>
        <w:sectPr>
          <w:headerReference w:type="default" r:id="gemHfRid20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  <w:r>
        <w:t>2020: 73980, preliminär siffra från 201130, definitiv siffra kommer någon gång i februari 2021</w:t>
      </w:r>
      <w:r>
        <w:br/>
      </w:r>
      <w:r>
        <w:t>2022: 76176 preliminär siffra från 201130, definitiv siffra kommer någon gång i februari</w:t>
      </w:r>
    </w:p>
    <w:p>
      <w:pPr/>
    </w:p>
    <w:sectPr>
      <w:headerReference w:type="default" r:id="gemHfRid21"/>
      <w:footerReference w:type="default" r:id="gemHfRid22"/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F9" w:rsidRDefault="00162EF9" w:rsidP="00B37493">
      <w:pPr>
        <w:pStyle w:val="MbIndicatorCommentCaption"/>
        <w:spacing w:after="0" w:line="240" w:lineRule="auto"/>
      </w:pPr>
      <w:r>
        <w:separator/>
      </w:r>
    </w:p>
  </w:endnote>
  <w:endnote w:type="continuationSeparator" w:id="0">
    <w:p w:rsidR="00162EF9" w:rsidRDefault="00162EF9" w:rsidP="00B37493">
      <w:pPr>
        <w:pStyle w:val="MbIndicatorCommentCaption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>
    <w:pPr/>
    <w:r>
      <w:rPr/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F9" w:rsidRDefault="00162EF9" w:rsidP="00B37493">
      <w:pPr>
        <w:pStyle w:val="MbIndicatorCommentCaption"/>
        <w:spacing w:after="0" w:line="240" w:lineRule="auto"/>
      </w:pPr>
      <w:r>
        <w:separator/>
      </w:r>
    </w:p>
  </w:footnote>
  <w:footnote w:type="continuationSeparator" w:id="0">
    <w:p w:rsidR="00162EF9" w:rsidRDefault="00162EF9" w:rsidP="00B37493">
      <w:pPr>
        <w:pStyle w:val="MbIndicatorCommentCaption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tbl>
    <w:tblPr>
      <w:tblStyle w:val="Tabellrutnt"/>
      <w:tblLook w:firstRow="1" w:lastRow="0" w:firstColumn="1" w:lastColumn="0" w:noHBand="0" w:noVBand="1" w:val="04A0"/>
      <w:tblW w:w="0" w:type="auto"/>
      <w:tblBorders>
        <w:top w:val="nil"/>
        <w:left w:val="nil"/>
        <w:bottom w:val="single" w:sz="12" w:color="4CAF50"/>
        <w:right w:val="nil"/>
        <w:insideH w:val="nil"/>
        <w:insideV w:val="nil"/>
      </w:tblBorders>
    </w:tblPr>
    <w:tblGrid>
      <w:gridCol w:w="1239"/>
      <w:gridCol w:w="7834"/>
    </w:tblGrid>
    <w:tr>
      <w:trPr>
        <w:cnfStyle w:val="100000000000"/>
        <w:trHeight w:hRule="atLeast" w:val="1270"/>
      </w:trPr>
      <w:tc>
        <w:tcPr>
          <w:cnfStyle w:val="100000000000"/>
          <w:tcW w:w="1242" w:type="dxa"/>
          <w:tcBorders>
            <w:bottom w:val="single" w:sz="12" w:color="4CAF50"/>
          </w:tcBorders>
          <w:shd w:val="clear" w:color="auto" w:fill="auto"/>
          <w:vAlign w:val="center"/>
        </w:tcPr>
        <w:p>
          <w:pPr>
            <w:cnfStyle w:val="100000000000"/>
            <w:pStyle w:val="Sidhuvud"/>
          </w:pPr>
          <w:r>
            <w:drawing>
              <wp:inline>
                <wp:extent cx="590550" cy="590550"/>
                <wp:effectExtent xmlns:wp="http://schemas.openxmlformats.org/drawingml/2006/wordprocessingDrawing" l="0" t="0" r="0" b="0"/>
                <wp:docPr id="39" name="Picture 3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/>
                        <pic:cNvPicPr/>
                      </pic:nvPicPr>
                      <pic:blipFill xmlns:pic="http://schemas.openxmlformats.org/drawingml/2006/picture">
                        <a:blip xmlns:r="http://schemas.openxmlformats.org/officeDocument/2006/relationships" xmlns:a="http://schemas.openxmlformats.org/drawingml/2006/main" r:embed="Picture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 xmlns:a="http://schemas.openxmlformats.org/drawingml/2006/main"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8002" w:type="dxa"/>
          <w:tcBorders>
            <w:bottom w:val="single" w:sz="12" w:color="4CAF50"/>
          </w:tcBorders>
          <w:shd w:val="clear" w:color="auto" w:fill="auto"/>
          <w:vAlign w:val="center"/>
        </w:tcPr>
        <w:p>
          <w:pPr>
            <w:cnfStyle w:val="100000000000"/>
            <w:pStyle w:val="MbIndicatorCommentCaption"/>
            <w:rPr>
              <w:rFonts w:ascii="Gill Sans MT" w:hAnsi="Gill Sans MT"/>
            </w:rPr>
          </w:pPr>
          <w:r>
            <w:rPr>
              <w:rFonts w:ascii="Gill Sans MT" w:hAnsi="Gill Sans MT"/>
              <w:sz w:val="36"/>
              <w:szCs w:val="36"/>
            </w:rPr>
            <w:t>Nyckeltal för miljökontoren</w:t>
          </w:r>
        </w:p>
      </w:tc>
    </w:tr>
    <w:tr>
      <w:trPr>
        <w:cnfStyle w:val="000000000000"/>
        <w:trHeight w:hRule="atLeast" w:val="394"/>
      </w:trPr>
      <w:tc>
        <w:tcPr>
          <w:cnfStyle w:val="000000000000"/>
          <w:tcW w:w="1242" w:type="dxa"/>
          <w:tcBorders>
            <w:top w:val="single" w:sz="12" w:color="4CAF50"/>
            <w:bottom w:val="nil"/>
          </w:tcBorders>
          <w:shd w:val="clear" w:color="auto" w:fill="auto"/>
          <w:vAlign w:val="center"/>
        </w:tcPr>
        <w:p>
          <w:pPr>
            <w:cnfStyle w:val="000000000000"/>
            <w:pStyle w:val="Sidhuvud"/>
            <w:rPr/>
          </w:pPr>
        </w:p>
      </w:tc>
      <w:tc>
        <w:tcPr>
          <w:cnfStyle w:val="000000000000"/>
          <w:tcW w:w="8002" w:type="dxa"/>
          <w:tcBorders>
            <w:top w:val="single" w:sz="12" w:color="4CAF50"/>
            <w:bottom w:val="nil"/>
          </w:tcBorders>
          <w:shd w:val="clear" w:color="auto" w:fill="auto"/>
        </w:tcPr>
        <w:p>
          <w:pPr>
            <w:cnfStyle w:val="000000000000"/>
            <w:pStyle w:val="MbIndicatorCommentCaption"/>
            <w:jc w:val="right"/>
            <w:rPr>
              <w:rFonts w:ascii="Gill Sans MT" w:hAnsi="Gill Sans MT"/>
              <w:b w:val="false"/>
              <w:color w:val="808080"/>
              <w:sz w:val="18"/>
              <w:szCs w:val="18"/>
            </w:rPr>
          </w:pPr>
          <w:r>
            <w:rPr>
              <w:rFonts w:ascii="Gill Sans MT" w:hAnsi="Gill Sans MT"/>
              <w:b w:val="false"/>
              <w:color w:val="808080"/>
              <w:sz w:val="18"/>
              <w:szCs w:val="18"/>
            </w:rPr>
            <w:t>Utskrift från miljosamverkan.miljobarometern.se</w:t>
          </w:r>
        </w:p>
      </w:tc>
    </w:tr>
  </w:tbl>
  <w:p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>
    <w:pPr/>
    <w:r>
      <w:rPr/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proofState xmlns:w="http://schemas.openxmlformats.org/wordprocessingml/2006/main" w:spelling="clean" w:grammar="clean"/>
  <w:stylePaneFormatFilter xmlns:w="http://schemas.openxmlformats.org/wordprocessingml/2006/main"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hyphenationZone xmlns:w="http://schemas.openxmlformats.org/wordprocessingml/2006/main" w:val="425"/>
  <w:defaultTableStyle xmlns:w="http://schemas.openxmlformats.org/wordprocessingml/2006/main" w:val="Tabellrutnt"/>
  <w:characterSpacingControl xmlns:w="http://schemas.openxmlformats.org/wordprocessingml/2006/main" w:val="doNotCompress"/>
  <w:savePreviewPicture xmlns:w="http://schemas.openxmlformats.org/wordprocessingml/2006/main"/>
  <w:hdrShapeDefaults xmlns:w="http://schemas.openxmlformats.org/wordprocessingml/2006/main">
    <o:shapedefaults xmlns:v="urn:schemas-microsoft-com:vml" xmlns:o="urn:schemas-microsoft-com:office:office" v:ext="edit" spidmax="2049"/>
  </w:hdrShapeDefaults>
  <w:footnotePr xmlns:w="http://schemas.openxmlformats.org/wordprocessingml/2006/main">
    <w:footnote w:id="-1"/>
    <w:footnote w:id="0"/>
  </w:footnotePr>
  <w:endnotePr xmlns:w="http://schemas.openxmlformats.org/wordprocessingml/2006/main">
    <w:endnote w:id="-1"/>
    <w:endnote w:id="0"/>
  </w:endnotePr>
  <w:compat xmlns:w="http://schemas.openxmlformats.org/wordprocessingml/2006/main"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 xmlns:w="http://schemas.openxmlformats.org/wordprocessingml/2006/main">
    <w:rsidRoot w:val="00806F8D"/>
    <w:rsid w:val="00024FD6"/>
    <w:rsid w:val="000504E4"/>
    <w:rsid w:val="00080F91"/>
    <w:rsid w:val="0011425C"/>
    <w:rsid w:val="00117898"/>
    <w:rsid w:val="00137343"/>
    <w:rsid w:val="00162EF9"/>
    <w:rsid w:val="00165AFF"/>
    <w:rsid w:val="002305F8"/>
    <w:rsid w:val="0030302B"/>
    <w:rsid w:val="00454CA7"/>
    <w:rsid w:val="004E6146"/>
    <w:rsid w:val="00557561"/>
    <w:rsid w:val="005A2B48"/>
    <w:rsid w:val="005D60EA"/>
    <w:rsid w:val="007304CB"/>
    <w:rsid w:val="00752DBB"/>
    <w:rsid w:val="00806F8D"/>
    <w:rsid w:val="008417DC"/>
    <w:rsid w:val="008A7881"/>
    <w:rsid w:val="008F56A4"/>
    <w:rsid w:val="00A91B40"/>
    <w:rsid w:val="00AA4B6E"/>
    <w:rsid w:val="00B37493"/>
    <w:rsid w:val="00BB2021"/>
    <w:rsid w:val="00C228DD"/>
    <w:rsid w:val="00C427DA"/>
    <w:rsid w:val="00C93530"/>
    <w:rsid w:val="00CB6D57"/>
    <w:rsid w:val="00CD5320"/>
    <w:rsid w:val="00CD5397"/>
    <w:rsid w:val="00D114FF"/>
    <w:rsid w:val="00D17731"/>
    <w:rsid w:val="00D857E4"/>
    <w:rsid w:val="00DE7485"/>
    <w:rsid w:val="00E04510"/>
    <w:rsid w:val="00E218AD"/>
    <w:rsid w:val="00E76E25"/>
    <w:rsid w:val="00EE3C4F"/>
    <w:rsid w:val="00F75944"/>
  </w:rsids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xmlns:w="http://schemas.openxmlformats.org/wordprocessingml/2006/main"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v="urn:schemas-microsoft-com:vml" xmlns:o="urn:schemas-microsoft-com:office:office" v:ext="edit" spidmax="2049"/>
    <o:shapelayout xmlns:v="urn:schemas-microsoft-com:vml" xmlns:o="urn:schemas-microsoft-com:office:office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15:docId xmlns:w15="http://schemas.microsoft.com/office/word/2012/wordml" w15:val="{8314DBAF-D56C-406A-956B-EEF8D76A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  <w:lang w:val="sv-SE"/>
      </w:rPr>
    </w:rPrDefault>
    <w:pPrDefault>
      <w:pPr>
        <w:spacing w:after="200" w:lineRule="auto" w:line="276"/>
      </w:pPr>
    </w:pPrDefault>
  </w:docDefaults>
  <w:style w:type="paragraph" w:styleId="Normal" w:default="true">
    <w:name w:val="Normal"/>
    <w:qFormat/>
    <w:pPr/>
    <w:rPr/>
  </w:style>
  <w:style w:type="paragraph" w:styleId="Rubrik1">
    <w:name w:val="heading 1"/>
    <w:uiPriority w:val="9"/>
    <w:qFormat/>
    <w:pPr>
      <w:keepNext/>
      <w:keepLines/>
      <w:pageBreakBefore/>
      <w:spacing w:before="480" w:after="240"/>
      <w:outlineLvl w:val="0"/>
    </w:pPr>
    <w:rPr>
      <w:rFonts w:ascii="Gill Sans MT" w:hAnsi="Gill Sans MT"/>
      <w:b/>
      <w:sz w:val="40"/>
      <w:szCs w:val="40"/>
    </w:rPr>
  </w:style>
  <w:style w:type="paragraph" w:styleId="Rubrik2">
    <w:name w:val="heading 2"/>
    <w:uiPriority w:val="9"/>
    <w:unhideWhenUsed/>
    <w:qFormat/>
    <w:pPr>
      <w:keepNext/>
      <w:keepLines/>
      <w:spacing w:before="360" w:after="120"/>
      <w:outlineLvl w:val="1"/>
    </w:pPr>
    <w:rPr>
      <w:rFonts w:ascii="Gill Sans MT" w:hAnsi="Gill Sans MT"/>
      <w:b/>
      <w:sz w:val="24"/>
      <w:szCs w:val="24"/>
    </w:rPr>
  </w:style>
  <w:style w:type="paragraph" w:styleId="Rubrik3">
    <w:name w:val="heading 3"/>
    <w:uiPriority w:val="9"/>
    <w:unhideWhenUsed/>
    <w:qFormat/>
    <w:pPr>
      <w:keepNext/>
      <w:keepLines/>
      <w:spacing w:before="320" w:after="120"/>
      <w:outlineLvl w:val="2"/>
    </w:pPr>
    <w:rPr>
      <w:rFonts w:ascii="Gill Sans MT" w:hAnsi="Gill Sans MT"/>
      <w:b/>
      <w:sz w:val="20"/>
      <w:szCs w:val="20"/>
    </w:rPr>
  </w:style>
  <w:style w:type="paragraph" w:styleId="Rubrik4">
    <w:name w:val="heading 4"/>
    <w:uiPriority w:val="9"/>
    <w:semiHidden/>
    <w:unhideWhenUsed/>
    <w:qFormat/>
    <w:pPr>
      <w:keepNext/>
      <w:keepLines/>
      <w:spacing w:before="200" w:after="0"/>
      <w:outlineLvl w:val="3"/>
    </w:pPr>
    <w:rPr>
      <w:rFonts w:ascii="Gill Sans MT" w:hAnsi="Gill Sans MT"/>
      <w:b/>
      <w:i/>
      <w:color w:val="000000"/>
      <w:sz w:val="20"/>
      <w:szCs w:val="20"/>
    </w:rPr>
  </w:style>
  <w:style w:type="character" w:styleId="Standardstycketeckensnitt" w:default="true">
    <w:name w:val="Default Paragraph Font"/>
    <w:uiPriority w:val="1"/>
    <w:semiHidden/>
    <w:unhideWhenUsed/>
    <w:rPr/>
  </w:style>
  <w:style w:type="table" w:styleId="Normaltabell" w:default="true">
    <w:name w:val="Normal Table"/>
    <w:uiPriority w:val="99"/>
    <w:semiHidden/>
    <w:unhideWhenUsed/>
    <w:pPr/>
    <w:rPr/>
    <w:tblPr>
      <w:tblStyleRowBandSize w:val="1"/>
      <w:tblStyleColBandSize w:val="1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Ingenlista" w:default="true">
    <w:name w:val="No List"/>
    <w:uiPriority w:val="99"/>
    <w:semiHidden/>
    <w:unhideWhenUsed/>
  </w:style>
  <w:style w:type="paragraph" w:styleId="MbTitle">
    <w:name w:val="MbTitle"/>
    <w:qFormat/>
    <w:pPr>
      <w:spacing w:before="800" w:after="600"/>
    </w:pPr>
    <w:rPr>
      <w:rFonts w:ascii="Gill Sans MT" w:hAnsi="Gill Sans MT"/>
      <w:sz w:val="44"/>
      <w:szCs w:val="44"/>
    </w:rPr>
  </w:style>
  <w:style w:type="paragraph" w:styleId="MbBold">
    <w:name w:val="MbBold"/>
    <w:qFormat/>
    <w:pPr/>
    <w:rPr>
      <w:b/>
    </w:rPr>
  </w:style>
  <w:style w:type="paragraph" w:styleId="MbIndicatorNameEx">
    <w:name w:val="MbIndicatorNameEx"/>
    <w:qFormat/>
    <w:pPr>
      <w:keepNext/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auto" w:fill="EAF1DD"/>
      <w:spacing w:before="120" w:after="0"/>
      <w:ind w:left="57" w:right="57"/>
    </w:pPr>
    <w:rPr>
      <w:b/>
    </w:rPr>
  </w:style>
  <w:style w:type="paragraph" w:styleId="MbIndicatorGraph">
    <w:name w:val="MbIndicatorGraph"/>
    <w:qFormat/>
    <w:pPr>
      <w:keepLines/>
      <w:pBdr>
        <w:left w:val="single" w:sz="4" w:color="auto"/>
        <w:bottom w:val="single" w:sz="4" w:color="auto"/>
        <w:right w:val="single" w:sz="4" w:color="auto"/>
      </w:pBdr>
      <w:ind w:left="57" w:right="57"/>
    </w:pPr>
    <w:rPr/>
  </w:style>
  <w:style w:type="paragraph" w:styleId="MbIndicatorMeasureAreaComment">
    <w:name w:val="MbIndicatorMeasureAreaComment"/>
    <w:qFormat/>
    <w:pPr/>
    <w:rPr/>
  </w:style>
  <w:style w:type="paragraph" w:styleId="MbIndicatorComment">
    <w:name w:val="MbIndicatorComment"/>
    <w:qFormat/>
    <w:pPr/>
    <w:rPr/>
  </w:style>
  <w:style w:type="paragraph" w:styleId="Sidhuvud">
    <w:name w:val="header"/>
    <w:basedOn w:val="Normal"/>
    <w:uiPriority w:val="99"/>
    <w:qFormat/>
    <w:pPr>
      <w:tabs>
        <w:tab w:pos="4536" w:val="center"/>
        <w:tab w:pos="9072" w:val="right"/>
      </w:tabs>
      <w:spacing w:after="0" w:lineRule="auto" w:line="240"/>
    </w:pPr>
    <w:rPr/>
  </w:style>
  <w:style w:type="character" w:styleId="SidhuvudChar">
    <w:name w:val="Sidhuvud Char"/>
    <w:basedOn w:val="Standardstycketeckensnitt"/>
    <w:uiPriority w:val="99"/>
    <w:qFormat/>
    <w:rPr/>
  </w:style>
  <w:style w:type="paragraph" w:styleId="Sidfot">
    <w:name w:val="footer"/>
    <w:basedOn w:val="Normal"/>
    <w:qFormat/>
    <w:pPr>
      <w:tabs>
        <w:tab w:pos="4536" w:val="center"/>
        <w:tab w:pos="9072" w:val="right"/>
      </w:tabs>
      <w:spacing w:after="0" w:lineRule="auto" w:line="240"/>
    </w:pPr>
    <w:rPr/>
  </w:style>
  <w:style w:type="character" w:styleId="SidfotChar">
    <w:name w:val="Sidfot Char"/>
    <w:basedOn w:val="Standardstycketeckensnitt"/>
    <w:qFormat/>
    <w:rPr/>
  </w:style>
  <w:style w:type="paragraph" w:styleId="Ingetavstnd">
    <w:name w:val="No Spacing"/>
    <w:qFormat/>
    <w:pPr>
      <w:spacing w:after="0" w:lineRule="auto" w:line="240"/>
    </w:pPr>
    <w:rPr/>
  </w:style>
  <w:style w:type="character" w:styleId="IngetavstndChar">
    <w:name w:val="Inget avstånd Char"/>
    <w:basedOn w:val="Standardstycketeckensnitt"/>
    <w:qFormat/>
    <w:rPr>
      <w:rFonts w:ascii="Calibri" w:hAnsi="Calibri"/>
    </w:rPr>
  </w:style>
  <w:style w:type="character" w:styleId="Hyperlnk">
    <w:name w:val="Hyperlink"/>
    <w:basedOn w:val="Standardstycketeckensnitt"/>
    <w:uiPriority w:val="99"/>
    <w:qFormat/>
    <w:rPr>
      <w:color w:val="0000FF"/>
      <w:u w:val="single"/>
    </w:rPr>
  </w:style>
  <w:style w:type="paragraph" w:styleId="MbMainNameEx">
    <w:name w:val="MbMainNameEx"/>
    <w:qFormat/>
    <w:pPr/>
    <w:rPr/>
  </w:style>
  <w:style w:type="paragraph" w:styleId="MbMainDescr">
    <w:name w:val="MbMainDescr"/>
    <w:qFormat/>
    <w:pPr/>
    <w:rPr/>
  </w:style>
  <w:style w:type="paragraph" w:styleId="MbSubMainEx">
    <w:name w:val="MbSubMainEx"/>
    <w:qFormat/>
    <w:pPr>
      <w:pBdr>
        <w:top w:val="single" w:sz="4" w:color="A6A6A6"/>
        <w:left w:val="single" w:sz="4" w:color="A6A6A6"/>
        <w:bottom w:val="single" w:sz="4" w:color="A6A6A6"/>
        <w:right w:val="single" w:sz="4" w:color="A6A6A6"/>
      </w:pBdr>
      <w:shd w:val="clear" w:color="auto" w:fill="F2F2F2"/>
    </w:pPr>
    <w:rPr/>
  </w:style>
  <w:style w:type="paragraph" w:styleId="MbSubDescr">
    <w:name w:val="MbSubDescr"/>
    <w:qFormat/>
    <w:pPr/>
    <w:rPr/>
  </w:style>
  <w:style w:type="paragraph" w:styleId="MbIndicatorDataSource">
    <w:name w:val="MbIndicatorDataSource"/>
    <w:qFormat/>
    <w:pPr/>
    <w:rPr>
      <w:i/>
    </w:rPr>
  </w:style>
  <w:style w:type="paragraph" w:styleId="MbIndicatorDescr">
    <w:name w:val="MbIndicatorDescr"/>
    <w:qFormat/>
    <w:pPr/>
    <w:rPr/>
  </w:style>
  <w:style w:type="paragraph" w:styleId="MbActivityNameEx">
    <w:name w:val="MbActivityNameEx"/>
    <w:qFormat/>
    <w:pPr/>
    <w:rPr/>
  </w:style>
  <w:style w:type="paragraph" w:styleId="MbActivityDescr">
    <w:name w:val="MbActivityDescr"/>
    <w:qFormat/>
    <w:pPr/>
    <w:rPr/>
  </w:style>
  <w:style w:type="paragraph" w:styleId="MbActivityComment">
    <w:name w:val="MbActivityComment"/>
    <w:qFormat/>
    <w:pPr/>
    <w:rPr/>
  </w:style>
  <w:style w:type="table" w:styleId="Tabellrutnt">
    <w:name w:val="Table Grid"/>
    <w:basedOn w:val="Normaltabell"/>
    <w:uiPriority w:val="59"/>
    <w:pPr>
      <w:spacing w:before="80" w:after="80" w:lineRule="auto" w:line="240"/>
    </w:pPr>
    <w:rPr/>
    <w:tblPr>
      <w:tblStyleRowBandSize w:val="1"/>
      <w:tblStyleColBandSize w:val="1"/>
      <w:tblBorders>
        <w:top w:val="single" w:sz="4" w:color="auto"/>
        <w:left w:val="single" w:sz="4" w:color="auto"/>
        <w:bottom w:val="single" w:sz="4" w:color="auto"/>
        <w:right w:val="single" w:sz="4" w:color="auto"/>
        <w:insideH w:val="nil"/>
        <w:insideV w:val="nil"/>
      </w:tblBorders>
    </w:tblPr>
    <w:trPr/>
    <w:tcPr/>
    <w:tblStylePr w:type="band2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BE5F1"/>
      </w:tcPr>
    </w:tblStylePr>
    <w:tblStylePr w:type="firstRow">
      <w:pPr/>
      <w:rPr>
        <w:b w:val="false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bottom w:val="single" w:sz="4" w:color="auto"/>
        </w:tcBorders>
        <w:shd w:val="clear" w:color="auto" w:fill="B8CCE4"/>
      </w:tcPr>
    </w:tblStylePr>
  </w:style>
  <w:style w:type="table" w:styleId="Ljusskuggning-dekorfrg5">
    <w:name w:val="Light Shading Accent 5"/>
    <w:basedOn w:val="Normaltabell"/>
    <w:uiPriority w:val="60"/>
    <w:pPr>
      <w:spacing w:after="0" w:lineRule="auto" w:line="240"/>
    </w:pPr>
    <w:rPr>
      <w:color w:val="31849B"/>
    </w:rPr>
    <w:tblPr>
      <w:tblStyleRowBandSize w:val="1"/>
      <w:tblStyleColBandSize w:val="1"/>
      <w:tblBorders>
        <w:top w:val="single" w:sz="8" w:color="4BACC6"/>
        <w:left w:val="nil"/>
        <w:bottom w:val="single" w:sz="8" w:color="4BACC6"/>
        <w:right w:val="nil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D2EAF1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D2EAF1"/>
      </w:tcPr>
    </w:tblStylePr>
    <w:tblStylePr w:type="firstCol">
      <w:pPr/>
      <w:rPr>
        <w:b w:val="false"/>
      </w:rPr>
      <w:tblPr/>
      <w:trPr/>
      <w:tcPr/>
    </w:tblStylePr>
    <w:tblStylePr w:type="lastCol">
      <w:pPr/>
      <w:rPr>
        <w:b/>
      </w:rPr>
      <w:tblPr/>
      <w:trPr/>
      <w:tcPr/>
    </w:tblStylePr>
    <w:tblStylePr w:type="fir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left w:val="nil"/>
          <w:bottom w:val="single" w:sz="8" w:color="4BACC6"/>
          <w:right w:val="nil"/>
        </w:tcBorders>
      </w:tcPr>
    </w:tblStylePr>
    <w:tblStylePr w:type="la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left w:val="nil"/>
          <w:bottom w:val="single" w:sz="8" w:color="4BACC6"/>
          <w:right w:val="nil"/>
        </w:tcBorders>
      </w:tcPr>
    </w:tblStylePr>
  </w:style>
  <w:style w:type="table" w:styleId="Ljuslista-dekorfrg5">
    <w:name w:val="Light List Accent 5"/>
    <w:basedOn w:val="Normaltabell"/>
    <w:uiPriority w:val="61"/>
    <w:pPr>
      <w:spacing w:after="0" w:lineRule="auto" w:line="240"/>
    </w:pPr>
    <w:rPr/>
    <w:tblPr>
      <w:tblStyleRowBandSize w:val="1"/>
      <w:tblStyleColBandSize w:val="1"/>
      <w:tblBorders>
        <w:top w:val="single" w:sz="8" w:color="4BACC6"/>
        <w:left w:val="single" w:sz="8" w:color="4BACC6"/>
        <w:bottom w:val="single" w:sz="8" w:color="4BACC6"/>
        <w:right w:val="single" w:sz="8" w:color="4BACC6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left w:val="single" w:sz="8" w:color="4BACC6"/>
          <w:bottom w:val="single" w:sz="8" w:color="4BACC6"/>
          <w:right w:val="single" w:sz="8" w:color="4BACC6"/>
        </w:tcBorders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left w:val="single" w:sz="8" w:color="4BACC6"/>
          <w:bottom w:val="single" w:sz="8" w:color="4BACC6"/>
          <w:right w:val="single" w:sz="8" w:color="4BACC6"/>
        </w:tcBorders>
      </w:tcPr>
    </w:tblStylePr>
    <w:tblStylePr w:type="firstCol">
      <w:pPr/>
      <w:rPr>
        <w:b/>
      </w:rPr>
      <w:tblPr/>
      <w:trPr/>
      <w:tcPr/>
    </w:tblStylePr>
    <w:tblStylePr w:type="lastCol">
      <w:pPr/>
      <w:rPr>
        <w:b/>
      </w:rPr>
      <w:tblPr/>
      <w:trPr/>
      <w:tcPr/>
    </w:tblStylePr>
    <w:tblStylePr w:type="firstRow">
      <w:pPr>
        <w:spacing w:before="0" w:after="0" w:lineRule="auto" w:line="240"/>
      </w:pPr>
      <w:rPr>
        <w:b/>
        <w:color w:val="FFFFFF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4BACC6"/>
      </w:tcPr>
    </w:tblStylePr>
    <w:tblStylePr w:type="la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double" w:sz="6" w:color="4BACC6"/>
          <w:left w:val="single" w:sz="8" w:color="4BACC6"/>
          <w:bottom w:val="single" w:sz="8" w:color="4BACC6"/>
          <w:right w:val="single" w:sz="8" w:color="4BACC6"/>
        </w:tcBorders>
      </w:tcPr>
    </w:tblStylePr>
  </w:style>
  <w:style w:type="table" w:styleId="Mellanmrklista1-dekorfrg5">
    <w:name w:val="Medium List 1 Accent 5"/>
    <w:basedOn w:val="Normaltabell"/>
    <w:uiPriority w:val="65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8" w:color="4BACC6"/>
        <w:left w:val="nil"/>
        <w:bottom w:val="single" w:sz="8" w:color="4BACC6"/>
        <w:right w:val="nil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2EAF1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2EAF1"/>
      </w:tcPr>
    </w:tblStylePr>
    <w:tblStylePr w:type="firstCol">
      <w:pPr/>
      <w:rPr>
        <w:b/>
      </w:rPr>
      <w:tblPr/>
      <w:trPr/>
      <w:tcPr/>
    </w:tblStylePr>
    <w:tblStylePr w:type="lastCol">
      <w:pPr/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bottom w:val="single" w:sz="8" w:color="4BACC6"/>
        </w:tcBorders>
      </w:tcPr>
    </w:tblStylePr>
    <w:tblStylePr w:type="firstRow">
      <w:pPr/>
      <w:rPr>
        <w:rFonts w:ascii="Cambria" w:hAnsi="Cambria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nil"/>
          <w:bottom w:val="single" w:sz="8" w:color="4BACC6"/>
        </w:tcBorders>
      </w:tcPr>
    </w:tblStylePr>
    <w:tblStylePr w:type="lastRow">
      <w:pPr/>
      <w:rPr>
        <w:b/>
        <w:color w:val="1F497D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bottom w:val="single" w:sz="8" w:color="4BACC6"/>
        </w:tcBorders>
      </w:tcPr>
    </w:tblStylePr>
  </w:style>
  <w:style w:type="table" w:styleId="Mellanmrklista1-dekorfrg1">
    <w:name w:val="Medium List 1 Accent 1"/>
    <w:basedOn w:val="Normaltabell"/>
    <w:uiPriority w:val="65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8" w:color="4F81BD"/>
        <w:left w:val="nil"/>
        <w:bottom w:val="single" w:sz="8" w:color="4F81BD"/>
        <w:right w:val="nil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3DFEE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3DFEE"/>
      </w:tcPr>
    </w:tblStylePr>
    <w:tblStylePr w:type="firstCol">
      <w:pPr/>
      <w:rPr>
        <w:b/>
      </w:rPr>
      <w:tblPr/>
      <w:trPr/>
      <w:tcPr/>
    </w:tblStylePr>
    <w:tblStylePr w:type="lastCol">
      <w:pPr/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F81BD"/>
          <w:bottom w:val="single" w:sz="8" w:color="4F81BD"/>
        </w:tcBorders>
      </w:tcPr>
    </w:tblStylePr>
    <w:tblStylePr w:type="firstRow">
      <w:pPr/>
      <w:rPr>
        <w:rFonts w:ascii="Cambria" w:hAnsi="Cambria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nil"/>
          <w:bottom w:val="single" w:sz="8" w:color="4F81BD"/>
        </w:tcBorders>
      </w:tcPr>
    </w:tblStylePr>
    <w:tblStylePr w:type="lastRow">
      <w:pPr/>
      <w:rPr>
        <w:b/>
        <w:color w:val="1F497D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F81BD"/>
          <w:bottom w:val="single" w:sz="8" w:color="4F81BD"/>
        </w:tcBorders>
      </w:tcPr>
    </w:tblStylePr>
  </w:style>
  <w:style w:type="table" w:styleId="Ljusskuggning-dekorfrg3">
    <w:name w:val="Light Shading Accent 3"/>
    <w:basedOn w:val="Normaltabell"/>
    <w:uiPriority w:val="60"/>
    <w:pPr>
      <w:spacing w:after="0" w:lineRule="auto" w:line="240"/>
    </w:pPr>
    <w:rPr>
      <w:color w:val="76923C"/>
    </w:rPr>
    <w:tblPr>
      <w:tblStyleRowBandSize w:val="1"/>
      <w:tblStyleColBandSize w:val="1"/>
      <w:tblBorders>
        <w:top w:val="single" w:sz="8" w:color="9BBB59"/>
        <w:left w:val="nil"/>
        <w:bottom w:val="single" w:sz="8" w:color="9BBB59"/>
        <w:right w:val="nil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E6EED5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E6EED5"/>
      </w:tcPr>
    </w:tblStylePr>
    <w:tblStylePr w:type="firstCol">
      <w:pPr/>
      <w:rPr>
        <w:b/>
      </w:rPr>
      <w:tblPr/>
      <w:trPr/>
      <w:tcPr/>
    </w:tblStylePr>
    <w:tblStylePr w:type="lastCol">
      <w:pPr/>
      <w:rPr>
        <w:b/>
      </w:rPr>
      <w:tblPr/>
      <w:trPr/>
      <w:tcPr/>
    </w:tblStylePr>
    <w:tblStylePr w:type="fir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9BBB59"/>
          <w:left w:val="nil"/>
          <w:bottom w:val="single" w:sz="8" w:color="9BBB59"/>
          <w:right w:val="nil"/>
        </w:tcBorders>
      </w:tcPr>
    </w:tblStylePr>
    <w:tblStylePr w:type="la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9BBB59"/>
          <w:left w:val="nil"/>
          <w:bottom w:val="single" w:sz="8" w:color="9BBB59"/>
          <w:right w:val="nil"/>
        </w:tcBorders>
      </w:tcPr>
    </w:tblStylePr>
  </w:style>
  <w:style w:type="table" w:styleId="Ljusskuggning-dekorfrg1">
    <w:name w:val="Light Shading Accent 1"/>
    <w:basedOn w:val="Normaltabell"/>
    <w:uiPriority w:val="60"/>
    <w:pPr>
      <w:spacing w:before="120" w:after="120" w:lineRule="auto" w:line="240"/>
    </w:pPr>
    <w:rPr/>
    <w:tblPr>
      <w:tblStyleRowBandSize w:val="1"/>
      <w:tblStyleColBandSize w:val="1"/>
      <w:tblBorders>
        <w:top w:val="nil"/>
        <w:left w:val="nil"/>
        <w:bottom w:val="nil"/>
        <w:right w:val="nil"/>
        <w:insideH w:val="nil"/>
        <w:insideV w:val="nil"/>
      </w:tblBorders>
    </w:tblPr>
    <w:trPr/>
    <w:tcPr>
      <w:shd w:val="clear" w:color="auto" w:fill="auto"/>
    </w:tcPr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BE5F1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D3DFEE"/>
      </w:tcPr>
    </w:tblStylePr>
    <w:tblStylePr w:type="firstCol">
      <w:pPr/>
      <w:rPr>
        <w:b w:val="false"/>
      </w:rPr>
      <w:tblPr/>
      <w:trPr/>
      <w:tcPr/>
    </w:tblStylePr>
    <w:tblStylePr w:type="lastCol">
      <w:pPr/>
      <w:rPr>
        <w:b/>
      </w:rPr>
      <w:tblPr/>
      <w:trPr/>
      <w:tcPr/>
    </w:tblStylePr>
    <w:tblStylePr w:type="firstRow">
      <w:pPr>
        <w:spacing w:before="0" w:after="0" w:lineRule="auto" w:line="240"/>
      </w:pPr>
      <w:rPr>
        <w:b w:val="false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B8CCE4"/>
      </w:tcPr>
    </w:tblStylePr>
    <w:tblStylePr w:type="la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F81BD"/>
          <w:left w:val="nil"/>
          <w:bottom w:val="single" w:sz="8" w:color="4F81BD"/>
          <w:right w:val="nil"/>
        </w:tcBorders>
      </w:tcPr>
    </w:tblStylePr>
  </w:style>
  <w:style w:type="paragraph" w:styleId="Innehllsfrteckningsrubrik">
    <w:name w:val="TOC Heading"/>
    <w:basedOn w:val="Rubrik1"/>
    <w:uiPriority w:val="39"/>
    <w:semiHidden/>
    <w:unhideWhenUsed/>
    <w:qFormat/>
    <w:pPr>
      <w:pageBreakBefore w:val="false"/>
      <w:spacing w:after="0"/>
      <w:outlineLvl w:val="9"/>
    </w:pPr>
    <w:rPr>
      <w:rFonts w:ascii="Cambria" w:hAnsi="Cambria"/>
      <w:color w:val="365F91"/>
      <w:sz w:val="28"/>
      <w:szCs w:val="28"/>
    </w:rPr>
  </w:style>
  <w:style w:type="paragraph" w:styleId="Innehll1">
    <w:name w:val="toc 1"/>
    <w:basedOn w:val="Normal"/>
    <w:uiPriority w:val="39"/>
    <w:unhideWhenUsed/>
    <w:pPr>
      <w:spacing w:after="100"/>
    </w:pPr>
    <w:rPr/>
  </w:style>
  <w:style w:type="paragraph" w:styleId="Innehll2">
    <w:name w:val="toc 2"/>
    <w:basedOn w:val="Normal"/>
    <w:uiPriority w:val="39"/>
    <w:unhideWhenUsed/>
    <w:pPr>
      <w:spacing w:after="100"/>
      <w:ind w:left="220"/>
    </w:pPr>
    <w:rPr/>
  </w:style>
  <w:style w:type="paragraph" w:styleId="Innehll3">
    <w:name w:val="toc 3"/>
    <w:basedOn w:val="Normal"/>
    <w:uiPriority w:val="39"/>
    <w:unhideWhenUsed/>
    <w:pPr>
      <w:spacing w:after="100"/>
      <w:ind w:left="440"/>
    </w:pPr>
    <w:rPr/>
  </w:style>
  <w:style w:type="paragraph" w:styleId="Innehll4">
    <w:name w:val="toc 4"/>
    <w:basedOn w:val="Normal"/>
    <w:uiPriority w:val="39"/>
    <w:unhideWhenUsed/>
    <w:pPr>
      <w:spacing w:after="100"/>
      <w:ind w:left="660"/>
    </w:pPr>
    <w:rPr/>
  </w:style>
  <w:style w:type="paragraph" w:styleId="Innehll5">
    <w:name w:val="toc 5"/>
    <w:basedOn w:val="Normal"/>
    <w:uiPriority w:val="39"/>
    <w:unhideWhenUsed/>
    <w:pPr>
      <w:spacing w:after="100"/>
      <w:ind w:left="880"/>
    </w:pPr>
    <w:rPr/>
  </w:style>
  <w:style w:type="paragraph" w:styleId="Innehll6">
    <w:name w:val="toc 6"/>
    <w:basedOn w:val="Normal"/>
    <w:uiPriority w:val="39"/>
    <w:unhideWhenUsed/>
    <w:pPr>
      <w:spacing w:after="100"/>
      <w:ind w:left="1100"/>
    </w:pPr>
    <w:rPr/>
  </w:style>
  <w:style w:type="paragraph" w:styleId="Innehll7">
    <w:name w:val="toc 7"/>
    <w:basedOn w:val="Normal"/>
    <w:uiPriority w:val="39"/>
    <w:unhideWhenUsed/>
    <w:pPr>
      <w:spacing w:after="100"/>
      <w:ind w:left="1320"/>
    </w:pPr>
    <w:rPr/>
  </w:style>
  <w:style w:type="paragraph" w:styleId="Innehll8">
    <w:name w:val="toc 8"/>
    <w:basedOn w:val="Normal"/>
    <w:uiPriority w:val="39"/>
    <w:unhideWhenUsed/>
    <w:pPr>
      <w:spacing w:after="100"/>
      <w:ind w:left="1540"/>
    </w:pPr>
    <w:rPr/>
  </w:style>
  <w:style w:type="paragraph" w:styleId="Innehll9">
    <w:name w:val="toc 9"/>
    <w:basedOn w:val="Normal"/>
    <w:uiPriority w:val="39"/>
    <w:unhideWhenUsed/>
    <w:pPr>
      <w:spacing w:after="100"/>
      <w:ind w:left="1760"/>
    </w:pPr>
    <w:rPr/>
  </w:style>
  <w:style w:type="paragraph" w:styleId="MbIndicatorCommentCaption">
    <w:name w:val="MbIndicatorCommentCaption"/>
    <w:qFormat/>
    <w:pPr/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Rule="auto" w:line="240"/>
    </w:pPr>
    <w:rPr>
      <w:rFonts w:ascii="Segoe UI" w:hAnsi="Segoe UI"/>
      <w:sz w:val="18"/>
      <w:szCs w:val="18"/>
    </w:rPr>
  </w:style>
  <w:style w:type="character" w:styleId="BallongtextChar">
    <w:name w:val="Ballongtext Char"/>
    <w:basedOn w:val="Standardstycketeckensnitt"/>
    <w:link w:val="Ballongtext"/>
    <w:uiPriority w:val="99"/>
    <w:semiHidden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3" Type="http://schemas.openxmlformats.org/officeDocument/2006/relationships/settings" Target="settings.xml" /><Relationship Id="PictureId1" Type="http://schemas.openxmlformats.org/officeDocument/2006/relationships/image" Target="media/image1.png" /><Relationship Id="PictureId2" Type="http://schemas.openxmlformats.org/officeDocument/2006/relationships/image" Target="media/image2.png" /><Relationship Id="PictureId3" Type="http://schemas.openxmlformats.org/officeDocument/2006/relationships/image" Target="media/image3.png" /><Relationship Id="PictureId4" Type="http://schemas.openxmlformats.org/officeDocument/2006/relationships/image" Target="media/image4.png" /><Relationship Id="PictureId5" Type="http://schemas.openxmlformats.org/officeDocument/2006/relationships/image" Target="media/image5.png" /><Relationship Id="PictureId6" Type="http://schemas.openxmlformats.org/officeDocument/2006/relationships/image" Target="media/image6.png" /><Relationship Id="PictureId7" Type="http://schemas.openxmlformats.org/officeDocument/2006/relationships/image" Target="media/image7.png" /><Relationship Id="PictureId8" Type="http://schemas.openxmlformats.org/officeDocument/2006/relationships/image" Target="media/image8.png" /><Relationship Id="PictureId9" Type="http://schemas.openxmlformats.org/officeDocument/2006/relationships/image" Target="media/image9.png" /><Relationship Id="PictureId10" Type="http://schemas.openxmlformats.org/officeDocument/2006/relationships/image" Target="media/image10.png" /><Relationship Id="PictureId11" Type="http://schemas.openxmlformats.org/officeDocument/2006/relationships/image" Target="media/image11.png" /><Relationship Id="PictureId12" Type="http://schemas.openxmlformats.org/officeDocument/2006/relationships/image" Target="media/image12.png" /><Relationship Id="PictureId13" Type="http://schemas.openxmlformats.org/officeDocument/2006/relationships/image" Target="media/image13.png" /><Relationship Id="PictureId14" Type="http://schemas.openxmlformats.org/officeDocument/2006/relationships/image" Target="media/image14.png" /><Relationship Id="PictureId15" Type="http://schemas.openxmlformats.org/officeDocument/2006/relationships/image" Target="media/image15.png" /><Relationship Id="PictureId16" Type="http://schemas.openxmlformats.org/officeDocument/2006/relationships/image" Target="media/image16.png" /><Relationship Id="PictureId17" Type="http://schemas.openxmlformats.org/officeDocument/2006/relationships/image" Target="media/image17.png" /><Relationship Id="PictureId18" Type="http://schemas.openxmlformats.org/officeDocument/2006/relationships/image" Target="media/image18.png" /><Relationship Id="PictureId19" Type="http://schemas.openxmlformats.org/officeDocument/2006/relationships/image" Target="media/image19.png" /><Relationship Id="gemHfRid20" Type="http://schemas.openxmlformats.org/officeDocument/2006/relationships/header" Target="header1.xml" /><Relationship Id="gemHfRid21" Type="http://schemas.openxmlformats.org/officeDocument/2006/relationships/header" Target="header2.xml" /><Relationship Id="gemHfRid22" Type="http://schemas.openxmlformats.org/officeDocument/2006/relationships/footer" Target="footer1.xml" /><Relationship Id="rId4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 />
</file>

<file path=word/_rels/header1.xml.rels><?xml version="1.0" encoding="utf-8" standalone="yes"?><Relationships xmlns="http://schemas.openxmlformats.org/package/2006/relationships"><Relationship Id="PictureId1" Type="http://schemas.openxmlformats.org/officeDocument/2006/relationships/image" Target="media/image20.png" /></Relationships>
</file>

<file path=word/_rels/header2.xml.rels>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82C484-C25C-4AA4-AC21-07DABF59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Template>Normal.dotm</Template>
  <TotalTime>3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Mikael Lindell</cp:lastModifiedBy>
  <dcterms:created xsi:type="dcterms:W3CDTF">2019-03-26T11:56:00Z</dcterms:created>
  <dcterms:modified xsi:type="dcterms:W3CDTF">2019-03-26T12:17:00Z</dcterms:modified>
  <cp:revision xmlns:cp="http://schemas.openxmlformats.org/package/2006/metadata/core-properties">5</cp:revision>
</cp:coreProperties>
</file>